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52"/>
          <w:szCs w:val="52"/>
        </w:rPr>
      </w:pPr>
    </w:p>
    <w:p>
      <w:pPr>
        <w:rPr>
          <w:b/>
          <w:bCs/>
          <w:sz w:val="52"/>
          <w:szCs w:val="52"/>
        </w:rPr>
      </w:pPr>
    </w:p>
    <w:p>
      <w:pPr>
        <w:jc w:val="center"/>
        <w:rPr>
          <w:b/>
          <w:bCs/>
          <w:sz w:val="52"/>
          <w:szCs w:val="52"/>
        </w:rPr>
      </w:pPr>
      <w:r>
        <w:rPr>
          <w:rFonts w:hint="eastAsia"/>
          <w:b/>
          <w:bCs/>
          <w:sz w:val="52"/>
          <w:szCs w:val="52"/>
        </w:rPr>
        <w:t>香河县财政项目支出</w:t>
      </w:r>
    </w:p>
    <w:p>
      <w:pPr>
        <w:jc w:val="center"/>
        <w:rPr>
          <w:b/>
          <w:bCs/>
          <w:sz w:val="52"/>
          <w:szCs w:val="52"/>
        </w:rPr>
      </w:pPr>
      <w:r>
        <w:rPr>
          <w:rFonts w:hint="eastAsia"/>
          <w:b/>
          <w:bCs/>
          <w:sz w:val="52"/>
          <w:szCs w:val="52"/>
        </w:rPr>
        <w:t>绩效评价报告</w:t>
      </w:r>
    </w:p>
    <w:p>
      <w:pPr>
        <w:rPr>
          <w:b/>
          <w:bCs/>
          <w:sz w:val="52"/>
        </w:rPr>
      </w:pPr>
    </w:p>
    <w:p>
      <w:pPr>
        <w:rPr>
          <w:b/>
          <w:bCs/>
          <w:sz w:val="52"/>
        </w:rPr>
      </w:pPr>
    </w:p>
    <w:p>
      <w:pPr>
        <w:rPr>
          <w:b/>
          <w:bCs/>
          <w:sz w:val="52"/>
        </w:rPr>
      </w:pPr>
    </w:p>
    <w:p>
      <w:pPr>
        <w:rPr>
          <w:b/>
          <w:bCs/>
          <w:sz w:val="52"/>
        </w:rPr>
      </w:pPr>
    </w:p>
    <w:p>
      <w:pPr>
        <w:rPr>
          <w:rFonts w:eastAsia="黑体"/>
          <w:sz w:val="30"/>
        </w:rPr>
      </w:pPr>
    </w:p>
    <w:p>
      <w:pPr>
        <w:rPr>
          <w:rFonts w:eastAsia="黑体"/>
          <w:sz w:val="30"/>
        </w:rPr>
      </w:pPr>
    </w:p>
    <w:p>
      <w:pPr>
        <w:rPr>
          <w:rFonts w:eastAsia="黑体"/>
          <w:sz w:val="30"/>
        </w:rPr>
      </w:pPr>
    </w:p>
    <w:p>
      <w:pPr>
        <w:snapToGrid w:val="0"/>
        <w:spacing w:line="360" w:lineRule="auto"/>
        <w:ind w:firstLine="566" w:firstLineChars="177"/>
        <w:rPr>
          <w:rFonts w:ascii="宋体" w:hAnsi="宋体"/>
          <w:sz w:val="32"/>
          <w:szCs w:val="32"/>
          <w:u w:val="single"/>
        </w:rPr>
      </w:pPr>
      <w:r>
        <w:rPr>
          <w:rFonts w:hint="eastAsia" w:ascii="宋体" w:hAnsi="宋体"/>
          <w:sz w:val="32"/>
          <w:szCs w:val="32"/>
        </w:rPr>
        <w:t xml:space="preserve">  主管部门：</w:t>
      </w:r>
      <w:r>
        <w:rPr>
          <w:rFonts w:hint="eastAsia" w:ascii="宋体" w:hAnsi="宋体"/>
          <w:sz w:val="32"/>
          <w:szCs w:val="32"/>
          <w:u w:val="single"/>
        </w:rPr>
        <w:t xml:space="preserve">      香河县教育和体育局        </w:t>
      </w:r>
    </w:p>
    <w:p>
      <w:pPr>
        <w:snapToGrid w:val="0"/>
        <w:spacing w:line="360" w:lineRule="auto"/>
        <w:ind w:firstLine="566" w:firstLineChars="177"/>
        <w:rPr>
          <w:rFonts w:ascii="宋体" w:hAnsi="宋体"/>
          <w:sz w:val="32"/>
          <w:szCs w:val="32"/>
          <w:u w:val="single"/>
        </w:rPr>
      </w:pPr>
      <w:r>
        <w:rPr>
          <w:rFonts w:hint="eastAsia" w:ascii="宋体" w:hAnsi="宋体"/>
          <w:sz w:val="32"/>
          <w:szCs w:val="32"/>
        </w:rPr>
        <w:t xml:space="preserve">  </w:t>
      </w:r>
      <w:r>
        <w:rPr>
          <w:rFonts w:hint="eastAsia" w:ascii="宋体" w:hAnsi="宋体"/>
          <w:sz w:val="32"/>
          <w:szCs w:val="32"/>
          <w:lang w:val="en-US" w:eastAsia="zh-CN"/>
        </w:rPr>
        <w:t>项目单位</w:t>
      </w:r>
      <w:r>
        <w:rPr>
          <w:rFonts w:hint="eastAsia" w:ascii="宋体" w:hAnsi="宋体"/>
          <w:sz w:val="32"/>
          <w:szCs w:val="32"/>
        </w:rPr>
        <w:t>：</w:t>
      </w:r>
      <w:r>
        <w:rPr>
          <w:rFonts w:hint="eastAsia" w:ascii="宋体" w:hAnsi="宋体"/>
          <w:sz w:val="32"/>
          <w:szCs w:val="32"/>
          <w:u w:val="single"/>
        </w:rPr>
        <w:t xml:space="preserve">      香河县教育和体育局        </w:t>
      </w:r>
    </w:p>
    <w:p>
      <w:pPr>
        <w:snapToGrid w:val="0"/>
        <w:spacing w:line="360" w:lineRule="auto"/>
        <w:ind w:firstLine="566" w:firstLineChars="177"/>
        <w:rPr>
          <w:rFonts w:hAnsi="宋体"/>
          <w:sz w:val="32"/>
          <w:u w:val="single"/>
        </w:rPr>
      </w:pPr>
      <w:r>
        <w:rPr>
          <w:rFonts w:hint="eastAsia" w:ascii="宋体" w:hAnsi="宋体"/>
          <w:sz w:val="32"/>
          <w:szCs w:val="32"/>
        </w:rPr>
        <w:t xml:space="preserve">  项目名称：</w:t>
      </w:r>
      <w:r>
        <w:rPr>
          <w:rFonts w:hint="eastAsia" w:ascii="宋体" w:hAnsi="宋体"/>
          <w:sz w:val="32"/>
          <w:szCs w:val="32"/>
          <w:u w:val="single"/>
        </w:rPr>
        <w:t xml:space="preserve">   中小学安防建设项目</w:t>
      </w:r>
      <w:r>
        <w:rPr>
          <w:rFonts w:hint="eastAsia" w:ascii="宋体" w:hAnsi="宋体"/>
          <w:sz w:val="32"/>
          <w:szCs w:val="32"/>
          <w:u w:val="single"/>
          <w:lang w:val="en-US" w:eastAsia="zh-CN"/>
        </w:rPr>
        <w:t>资金项目</w:t>
      </w:r>
      <w:r>
        <w:rPr>
          <w:rFonts w:hint="eastAsia" w:ascii="宋体" w:hAnsi="宋体"/>
          <w:sz w:val="32"/>
          <w:szCs w:val="32"/>
          <w:u w:val="single"/>
        </w:rPr>
        <w:t xml:space="preserve">   </w:t>
      </w:r>
    </w:p>
    <w:p>
      <w:pPr>
        <w:tabs>
          <w:tab w:val="left" w:pos="8505"/>
        </w:tabs>
        <w:snapToGrid w:val="0"/>
        <w:spacing w:line="360" w:lineRule="auto"/>
        <w:ind w:firstLine="886" w:firstLineChars="277"/>
        <w:rPr>
          <w:rFonts w:ascii="宋体" w:hAnsi="宋体"/>
          <w:sz w:val="32"/>
          <w:szCs w:val="32"/>
          <w:u w:val="single"/>
        </w:rPr>
      </w:pPr>
      <w:r>
        <w:rPr>
          <w:rFonts w:hint="eastAsia" w:ascii="宋体" w:hAnsi="宋体"/>
          <w:sz w:val="32"/>
          <w:szCs w:val="32"/>
        </w:rPr>
        <w:t>评价机构：</w:t>
      </w:r>
      <w:r>
        <w:rPr>
          <w:rFonts w:hint="eastAsia" w:ascii="宋体" w:hAnsi="宋体"/>
          <w:sz w:val="32"/>
          <w:szCs w:val="32"/>
          <w:u w:val="single"/>
        </w:rPr>
        <w:t xml:space="preserve">   河北省廊坊市香河县财政局     </w:t>
      </w:r>
    </w:p>
    <w:p>
      <w:pPr>
        <w:snapToGrid w:val="0"/>
        <w:ind w:firstLine="566" w:firstLineChars="177"/>
        <w:rPr>
          <w:rFonts w:ascii="宋体" w:hAnsi="宋体"/>
          <w:sz w:val="32"/>
          <w:szCs w:val="32"/>
        </w:rPr>
      </w:pPr>
      <w:r>
        <w:rPr>
          <w:rFonts w:hint="eastAsia" w:ascii="宋体" w:hAnsi="宋体"/>
          <w:sz w:val="32"/>
          <w:szCs w:val="32"/>
        </w:rPr>
        <w:t xml:space="preserve">  参与评价</w:t>
      </w:r>
    </w:p>
    <w:p>
      <w:pPr>
        <w:snapToGrid w:val="0"/>
        <w:spacing w:line="360" w:lineRule="auto"/>
        <w:ind w:firstLine="886" w:firstLineChars="277"/>
        <w:rPr>
          <w:rFonts w:ascii="宋体" w:hAnsi="宋体"/>
          <w:sz w:val="32"/>
          <w:szCs w:val="32"/>
          <w:u w:val="single"/>
        </w:rPr>
      </w:pPr>
      <w:r>
        <w:rPr>
          <w:rFonts w:hint="eastAsia" w:ascii="宋体" w:hAnsi="宋体"/>
          <w:sz w:val="32"/>
          <w:szCs w:val="32"/>
        </w:rPr>
        <w:t>中介机构:</w:t>
      </w:r>
      <w:r>
        <w:rPr>
          <w:rFonts w:hint="eastAsia" w:ascii="宋体" w:hAnsi="宋体"/>
          <w:sz w:val="32"/>
          <w:szCs w:val="32"/>
          <w:u w:val="single"/>
        </w:rPr>
        <w:t xml:space="preserve">    中逸会计师事务所有限公司     </w:t>
      </w:r>
    </w:p>
    <w:p>
      <w:pPr>
        <w:jc w:val="center"/>
        <w:rPr>
          <w:rFonts w:ascii="宋体" w:hAnsi="宋体"/>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香河县财政局</w:t>
      </w:r>
    </w:p>
    <w:p>
      <w:pPr>
        <w:jc w:val="center"/>
        <w:rPr>
          <w:rFonts w:ascii="宋体" w:hAnsi="宋体"/>
          <w:b/>
          <w:sz w:val="32"/>
          <w:szCs w:val="32"/>
        </w:rPr>
      </w:pPr>
      <w:r>
        <w:rPr>
          <w:rFonts w:hint="eastAsia" w:ascii="宋体" w:hAnsi="宋体"/>
          <w:b/>
          <w:sz w:val="32"/>
          <w:szCs w:val="32"/>
        </w:rPr>
        <w:t>二〇</w:t>
      </w:r>
      <w:r>
        <w:rPr>
          <w:rFonts w:hint="eastAsia" w:ascii="宋体" w:hAnsi="宋体"/>
          <w:b/>
          <w:sz w:val="32"/>
          <w:szCs w:val="32"/>
          <w:lang w:val="en-US" w:eastAsia="zh-CN"/>
        </w:rPr>
        <w:t>二〇</w:t>
      </w:r>
      <w:r>
        <w:rPr>
          <w:rFonts w:hint="eastAsia" w:ascii="宋体" w:hAnsi="宋体"/>
          <w:b/>
          <w:sz w:val="32"/>
          <w:szCs w:val="32"/>
        </w:rPr>
        <w:t>年十二月</w:t>
      </w:r>
    </w:p>
    <w:p>
      <w:pPr>
        <w:rPr>
          <w:rFonts w:ascii="宋体" w:hAnsi="宋体"/>
          <w:b/>
          <w:sz w:val="32"/>
          <w:szCs w:val="32"/>
        </w:rPr>
      </w:pPr>
    </w:p>
    <w:p>
      <w:pPr>
        <w:spacing w:line="360" w:lineRule="auto"/>
        <w:rPr>
          <w:rFonts w:ascii="仿宋_GB2312" w:hAnsi="宋体" w:eastAsia="仿宋_GB2312"/>
          <w:sz w:val="32"/>
          <w:szCs w:val="32"/>
        </w:rPr>
      </w:pPr>
    </w:p>
    <w:p>
      <w:pPr>
        <w:spacing w:line="360" w:lineRule="auto"/>
        <w:rPr>
          <w:rFonts w:hint="eastAsia" w:ascii="仿宋_GB2312" w:hAnsi="宋体" w:eastAsia="仿宋_GB2312"/>
          <w:b/>
          <w:sz w:val="32"/>
          <w:szCs w:val="32"/>
          <w:lang w:eastAsia="zh-CN"/>
        </w:rPr>
      </w:pPr>
      <w:r>
        <w:rPr>
          <w:rFonts w:ascii="仿宋_GB2312" w:hAnsi="宋体" w:eastAsia="仿宋_GB2312"/>
          <w:sz w:val="32"/>
          <w:szCs w:val="32"/>
        </w:rPr>
        <w:br w:type="page"/>
      </w:r>
      <w:bookmarkStart w:id="0" w:name="_Toc169183181"/>
      <w:r>
        <w:rPr>
          <w:rFonts w:hint="eastAsia" w:ascii="仿宋_GB2312" w:hAnsi="宋体" w:eastAsia="仿宋_GB2312"/>
          <w:b/>
          <w:sz w:val="32"/>
          <w:szCs w:val="32"/>
          <w:lang w:eastAsia="zh-CN"/>
        </w:rPr>
        <w:drawing>
          <wp:inline distT="0" distB="0" distL="114300" distR="114300">
            <wp:extent cx="5760720" cy="3844925"/>
            <wp:effectExtent l="0" t="0" r="11430" b="3175"/>
            <wp:docPr id="3" name="图片 3" descr="小学升降柱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小学升降柱截图"/>
                    <pic:cNvPicPr>
                      <a:picLocks noChangeAspect="1"/>
                    </pic:cNvPicPr>
                  </pic:nvPicPr>
                  <pic:blipFill>
                    <a:blip r:embed="rId7"/>
                    <a:stretch>
                      <a:fillRect/>
                    </a:stretch>
                  </pic:blipFill>
                  <pic:spPr>
                    <a:xfrm>
                      <a:off x="0" y="0"/>
                      <a:ext cx="5760720" cy="3844925"/>
                    </a:xfrm>
                    <a:prstGeom prst="rect">
                      <a:avLst/>
                    </a:prstGeom>
                  </pic:spPr>
                </pic:pic>
              </a:graphicData>
            </a:graphic>
          </wp:inline>
        </w:drawing>
      </w:r>
    </w:p>
    <w:p>
      <w:pPr>
        <w:spacing w:line="360" w:lineRule="auto"/>
        <w:jc w:val="center"/>
        <w:rPr>
          <w:rFonts w:hint="default" w:ascii="仿宋_GB2312" w:hAnsi="宋体" w:eastAsia="仿宋_GB2312"/>
          <w:b/>
          <w:sz w:val="32"/>
          <w:szCs w:val="32"/>
          <w:lang w:val="en-US" w:eastAsia="zh-CN"/>
        </w:rPr>
      </w:pPr>
      <w:r>
        <w:rPr>
          <w:rFonts w:hint="eastAsia" w:ascii="仿宋_GB2312" w:hAnsi="宋体" w:eastAsia="仿宋_GB2312"/>
          <w:b/>
          <w:sz w:val="32"/>
          <w:szCs w:val="32"/>
        </w:rPr>
        <w:t xml:space="preserve">图一 </w:t>
      </w:r>
      <w:r>
        <w:rPr>
          <w:rFonts w:hint="eastAsia" w:ascii="仿宋_GB2312" w:hAnsi="宋体" w:eastAsia="仿宋_GB2312"/>
          <w:b/>
          <w:sz w:val="32"/>
          <w:szCs w:val="32"/>
          <w:lang w:val="en-US" w:eastAsia="zh-CN"/>
        </w:rPr>
        <w:t>小学升降柱效果图</w:t>
      </w:r>
    </w:p>
    <w:p>
      <w:pPr>
        <w:spacing w:line="360" w:lineRule="auto"/>
        <w:jc w:val="center"/>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drawing>
          <wp:inline distT="0" distB="0" distL="114300" distR="114300">
            <wp:extent cx="5760720" cy="3851275"/>
            <wp:effectExtent l="0" t="0" r="11430" b="15875"/>
            <wp:docPr id="4" name="图片 4" descr="中学升降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学升降柱照片"/>
                    <pic:cNvPicPr>
                      <a:picLocks noChangeAspect="1"/>
                    </pic:cNvPicPr>
                  </pic:nvPicPr>
                  <pic:blipFill>
                    <a:blip r:embed="rId8"/>
                    <a:stretch>
                      <a:fillRect/>
                    </a:stretch>
                  </pic:blipFill>
                  <pic:spPr>
                    <a:xfrm>
                      <a:off x="0" y="0"/>
                      <a:ext cx="5760720" cy="3851275"/>
                    </a:xfrm>
                    <a:prstGeom prst="rect">
                      <a:avLst/>
                    </a:prstGeom>
                  </pic:spPr>
                </pic:pic>
              </a:graphicData>
            </a:graphic>
          </wp:inline>
        </w:drawing>
      </w:r>
    </w:p>
    <w:p>
      <w:pPr>
        <w:spacing w:line="360" w:lineRule="auto"/>
        <w:jc w:val="center"/>
        <w:rPr>
          <w:rFonts w:hint="default" w:ascii="仿宋_GB2312" w:hAnsi="宋体" w:eastAsia="仿宋_GB2312"/>
          <w:b/>
          <w:sz w:val="32"/>
          <w:szCs w:val="32"/>
          <w:lang w:val="en-US" w:eastAsia="zh-CN"/>
        </w:rPr>
      </w:pPr>
      <w:r>
        <w:rPr>
          <w:rFonts w:hint="eastAsia" w:ascii="仿宋_GB2312" w:hAnsi="宋体" w:eastAsia="仿宋_GB2312"/>
          <w:b/>
          <w:sz w:val="32"/>
          <w:szCs w:val="32"/>
        </w:rPr>
        <w:t xml:space="preserve">图二 </w:t>
      </w:r>
      <w:r>
        <w:rPr>
          <w:rFonts w:hint="eastAsia" w:ascii="仿宋_GB2312" w:hAnsi="宋体" w:eastAsia="仿宋_GB2312"/>
          <w:b/>
          <w:sz w:val="32"/>
          <w:szCs w:val="32"/>
          <w:lang w:val="en-US" w:eastAsia="zh-CN"/>
        </w:rPr>
        <w:t>中学升降柱效果图</w:t>
      </w:r>
    </w:p>
    <w:p>
      <w:pPr>
        <w:widowControl/>
        <w:jc w:val="center"/>
        <w:rPr>
          <w:rFonts w:ascii="仿宋_GB2312" w:eastAsia="仿宋_GB2312"/>
          <w:sz w:val="32"/>
          <w:szCs w:val="32"/>
          <w:lang w:val="zh-CN"/>
        </w:rPr>
      </w:pPr>
      <w:r>
        <w:rPr>
          <w:rFonts w:ascii="仿宋_GB2312" w:eastAsia="仿宋_GB2312"/>
          <w:sz w:val="32"/>
          <w:szCs w:val="32"/>
          <w:lang w:val="zh-CN"/>
        </w:rPr>
        <w:t xml:space="preserve"> </w:t>
      </w:r>
      <w:r>
        <w:rPr>
          <w:rFonts w:hint="eastAsia" w:ascii="仿宋_GB2312" w:eastAsia="仿宋_GB2312"/>
          <w:sz w:val="32"/>
          <w:szCs w:val="32"/>
          <w:lang w:val="zh-CN"/>
        </w:rPr>
        <w:t>目录</w:t>
      </w:r>
    </w:p>
    <w:p>
      <w:pPr>
        <w:pStyle w:val="11"/>
        <w:tabs>
          <w:tab w:val="right" w:leader="dot" w:pos="9072"/>
          <w:tab w:val="clear" w:pos="8608"/>
        </w:tabs>
        <w:spacing w:line="360" w:lineRule="auto"/>
        <w:rPr>
          <w:rFonts w:hAnsi="仿宋" w:cs="仿宋"/>
          <w:b w:val="0"/>
          <w:bCs/>
          <w:sz w:val="32"/>
          <w:szCs w:val="32"/>
        </w:rPr>
      </w:pPr>
      <w:r>
        <w:rPr>
          <w:rFonts w:hint="eastAsia"/>
          <w:b w:val="0"/>
          <w:sz w:val="32"/>
          <w:szCs w:val="32"/>
        </w:rPr>
        <w:fldChar w:fldCharType="begin"/>
      </w:r>
      <w:r>
        <w:rPr>
          <w:rFonts w:hint="eastAsia"/>
          <w:b w:val="0"/>
          <w:sz w:val="32"/>
          <w:szCs w:val="32"/>
        </w:rPr>
        <w:instrText xml:space="preserve"> TOC \o "1-3" \h \z \u </w:instrText>
      </w:r>
      <w:r>
        <w:rPr>
          <w:rFonts w:hint="eastAsia"/>
          <w:b w:val="0"/>
          <w:sz w:val="32"/>
          <w:szCs w:val="32"/>
        </w:rPr>
        <w:fldChar w:fldCharType="separate"/>
      </w:r>
      <w:r>
        <w:fldChar w:fldCharType="begin"/>
      </w:r>
      <w:r>
        <w:instrText xml:space="preserve"> HYPERLINK \l "_Toc15332" </w:instrText>
      </w:r>
      <w:r>
        <w:fldChar w:fldCharType="separate"/>
      </w:r>
      <w:r>
        <w:rPr>
          <w:rFonts w:hint="eastAsia" w:hAnsi="仿宋" w:cs="仿宋"/>
          <w:b w:val="0"/>
          <w:bCs/>
          <w:sz w:val="32"/>
          <w:szCs w:val="32"/>
        </w:rPr>
        <w:t>一、项目概述</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_Toc15332 </w:instrText>
      </w:r>
      <w:r>
        <w:rPr>
          <w:rFonts w:hint="eastAsia" w:hAnsi="仿宋" w:cs="仿宋"/>
          <w:b w:val="0"/>
          <w:bCs/>
          <w:sz w:val="32"/>
          <w:szCs w:val="32"/>
        </w:rPr>
        <w:fldChar w:fldCharType="separate"/>
      </w:r>
      <w:r>
        <w:rPr>
          <w:rFonts w:hint="eastAsia" w:hAnsi="仿宋" w:cs="仿宋"/>
          <w:b w:val="0"/>
          <w:bCs/>
          <w:sz w:val="32"/>
          <w:szCs w:val="32"/>
        </w:rPr>
        <w:t>1</w:t>
      </w:r>
      <w:r>
        <w:rPr>
          <w:rFonts w:hint="eastAsia" w:hAnsi="仿宋" w:cs="仿宋"/>
          <w:b w:val="0"/>
          <w:bCs/>
          <w:sz w:val="32"/>
          <w:szCs w:val="32"/>
        </w:rPr>
        <w:fldChar w:fldCharType="end"/>
      </w:r>
      <w:r>
        <w:rPr>
          <w:rFonts w:hint="eastAsia" w:hAnsi="仿宋" w:cs="仿宋"/>
          <w:b w:val="0"/>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"_Toc14107" </w:instrText>
      </w:r>
      <w:r>
        <w:fldChar w:fldCharType="separate"/>
      </w:r>
      <w:r>
        <w:rPr>
          <w:rFonts w:hint="eastAsia" w:ascii="仿宋_GB2312" w:hAnsi="仿宋" w:eastAsia="仿宋_GB2312" w:cs="仿宋"/>
          <w:bCs/>
          <w:sz w:val="32"/>
          <w:szCs w:val="32"/>
        </w:rPr>
        <w:t>（一）项目概况</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_Toc14107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1</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"_Toc18068" </w:instrText>
      </w:r>
      <w:r>
        <w:fldChar w:fldCharType="separate"/>
      </w:r>
      <w:r>
        <w:rPr>
          <w:rFonts w:hint="eastAsia" w:ascii="仿宋_GB2312" w:hAnsi="仿宋" w:eastAsia="仿宋_GB2312" w:cs="仿宋"/>
          <w:bCs/>
          <w:sz w:val="32"/>
          <w:szCs w:val="32"/>
        </w:rPr>
        <w:t>（二）项目资金细化分配情况</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_Toc18068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2</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"_Toc2621" </w:instrText>
      </w:r>
      <w:r>
        <w:fldChar w:fldCharType="separate"/>
      </w:r>
      <w:r>
        <w:rPr>
          <w:rFonts w:hint="eastAsia" w:ascii="仿宋_GB2312" w:hAnsi="仿宋" w:eastAsia="仿宋_GB2312" w:cs="仿宋"/>
          <w:bCs/>
          <w:sz w:val="32"/>
          <w:szCs w:val="32"/>
        </w:rPr>
        <w:t>（三） 项目政策依据</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_Toc2621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2</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"_Toc18615" </w:instrText>
      </w:r>
      <w:r>
        <w:fldChar w:fldCharType="separate"/>
      </w:r>
      <w:r>
        <w:rPr>
          <w:rFonts w:hint="eastAsia" w:ascii="仿宋_GB2312" w:hAnsi="仿宋" w:eastAsia="仿宋_GB2312" w:cs="仿宋"/>
          <w:bCs/>
          <w:sz w:val="32"/>
          <w:szCs w:val="32"/>
        </w:rPr>
        <w:t>（四）项目绩效目标</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_Toc18615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2</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 w:val="clear" w:pos="8608"/>
        </w:tabs>
        <w:spacing w:line="360" w:lineRule="auto"/>
        <w:rPr>
          <w:rFonts w:hAnsi="仿宋" w:cs="仿宋"/>
          <w:b w:val="0"/>
          <w:bCs/>
          <w:sz w:val="32"/>
          <w:szCs w:val="32"/>
        </w:rPr>
      </w:pPr>
      <w:r>
        <w:fldChar w:fldCharType="begin"/>
      </w:r>
      <w:r>
        <w:instrText xml:space="preserve"> HYPERLINK \l "_Toc4574" </w:instrText>
      </w:r>
      <w:r>
        <w:fldChar w:fldCharType="separate"/>
      </w:r>
      <w:r>
        <w:rPr>
          <w:rFonts w:hint="eastAsia" w:hAnsi="仿宋" w:cs="仿宋"/>
          <w:b w:val="0"/>
          <w:bCs/>
          <w:sz w:val="32"/>
          <w:szCs w:val="32"/>
        </w:rPr>
        <w:t>二、绩效评价工作开展情况</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_Toc4574 </w:instrText>
      </w:r>
      <w:r>
        <w:rPr>
          <w:rFonts w:hint="eastAsia" w:hAnsi="仿宋" w:cs="仿宋"/>
          <w:b w:val="0"/>
          <w:bCs/>
          <w:sz w:val="32"/>
          <w:szCs w:val="32"/>
        </w:rPr>
        <w:fldChar w:fldCharType="separate"/>
      </w:r>
      <w:r>
        <w:rPr>
          <w:rFonts w:hint="eastAsia" w:hAnsi="仿宋" w:cs="仿宋"/>
          <w:b w:val="0"/>
          <w:bCs/>
          <w:sz w:val="32"/>
          <w:szCs w:val="32"/>
        </w:rPr>
        <w:t>3</w:t>
      </w:r>
      <w:r>
        <w:rPr>
          <w:rFonts w:hint="eastAsia" w:hAnsi="仿宋" w:cs="仿宋"/>
          <w:b w:val="0"/>
          <w:bCs/>
          <w:sz w:val="32"/>
          <w:szCs w:val="32"/>
        </w:rPr>
        <w:fldChar w:fldCharType="end"/>
      </w:r>
      <w:r>
        <w:rPr>
          <w:rFonts w:hint="eastAsia" w:hAnsi="仿宋" w:cs="仿宋"/>
          <w:b w:val="0"/>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"_Toc1496" </w:instrText>
      </w:r>
      <w:r>
        <w:fldChar w:fldCharType="separate"/>
      </w:r>
      <w:r>
        <w:rPr>
          <w:rFonts w:hint="eastAsia" w:ascii="仿宋_GB2312" w:hAnsi="仿宋" w:eastAsia="仿宋_GB2312" w:cs="仿宋"/>
          <w:bCs/>
          <w:sz w:val="32"/>
          <w:szCs w:val="32"/>
        </w:rPr>
        <w:t>（一）绩效评价目标</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_Toc1496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3</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"_Toc25611" </w:instrText>
      </w:r>
      <w:r>
        <w:fldChar w:fldCharType="separate"/>
      </w:r>
      <w:r>
        <w:rPr>
          <w:rFonts w:hint="eastAsia" w:ascii="仿宋_GB2312" w:hAnsi="仿宋" w:eastAsia="仿宋_GB2312" w:cs="仿宋"/>
          <w:bCs/>
          <w:sz w:val="32"/>
          <w:szCs w:val="32"/>
        </w:rPr>
        <w:t>（二）绩效评价设计过程</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_Toc25611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3</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"_Toc25021" </w:instrText>
      </w:r>
      <w:r>
        <w:fldChar w:fldCharType="separate"/>
      </w:r>
      <w:r>
        <w:rPr>
          <w:rFonts w:hint="eastAsia" w:ascii="仿宋_GB2312" w:hAnsi="仿宋" w:eastAsia="仿宋_GB2312" w:cs="仿宋"/>
          <w:bCs/>
          <w:sz w:val="32"/>
          <w:szCs w:val="32"/>
        </w:rPr>
        <w:t>（三）绩效评价框架</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_Toc25021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4</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"_Toc3000" </w:instrText>
      </w:r>
      <w:r>
        <w:fldChar w:fldCharType="separate"/>
      </w:r>
      <w:r>
        <w:rPr>
          <w:rFonts w:hint="eastAsia" w:ascii="仿宋_GB2312" w:hAnsi="仿宋" w:eastAsia="仿宋_GB2312" w:cs="仿宋"/>
          <w:bCs/>
          <w:sz w:val="32"/>
          <w:szCs w:val="32"/>
        </w:rPr>
        <w:t>（四）证据收集方法</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_Toc3000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4</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"_Toc8387" </w:instrText>
      </w:r>
      <w:r>
        <w:fldChar w:fldCharType="separate"/>
      </w:r>
      <w:r>
        <w:rPr>
          <w:rFonts w:hint="eastAsia" w:ascii="仿宋_GB2312" w:hAnsi="仿宋" w:eastAsia="仿宋_GB2312" w:cs="仿宋"/>
          <w:bCs/>
          <w:sz w:val="32"/>
          <w:szCs w:val="32"/>
        </w:rPr>
        <w:t>（五）绩效评价实施过程</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_Toc8387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4</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 w:val="clear" w:pos="8608"/>
        </w:tabs>
        <w:spacing w:line="360" w:lineRule="auto"/>
        <w:rPr>
          <w:rFonts w:hAnsi="仿宋" w:cs="仿宋"/>
          <w:b w:val="0"/>
          <w:bCs/>
          <w:sz w:val="32"/>
          <w:szCs w:val="32"/>
        </w:rPr>
      </w:pPr>
      <w:r>
        <w:fldChar w:fldCharType="begin"/>
      </w:r>
      <w:r>
        <w:instrText xml:space="preserve"> HYPERLINK \l "_Toc8268" </w:instrText>
      </w:r>
      <w:r>
        <w:fldChar w:fldCharType="separate"/>
      </w:r>
      <w:r>
        <w:rPr>
          <w:rFonts w:hint="eastAsia" w:hAnsi="仿宋" w:cs="仿宋"/>
          <w:b w:val="0"/>
          <w:bCs/>
          <w:sz w:val="32"/>
          <w:szCs w:val="32"/>
        </w:rPr>
        <w:t>三、绩效评价结果</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_Toc8268 </w:instrText>
      </w:r>
      <w:r>
        <w:rPr>
          <w:rFonts w:hint="eastAsia" w:hAnsi="仿宋" w:cs="仿宋"/>
          <w:b w:val="0"/>
          <w:bCs/>
          <w:sz w:val="32"/>
          <w:szCs w:val="32"/>
        </w:rPr>
        <w:fldChar w:fldCharType="separate"/>
      </w:r>
      <w:r>
        <w:rPr>
          <w:rFonts w:hint="eastAsia" w:hAnsi="仿宋" w:cs="仿宋"/>
          <w:b w:val="0"/>
          <w:bCs/>
          <w:sz w:val="32"/>
          <w:szCs w:val="32"/>
        </w:rPr>
        <w:t>4</w:t>
      </w:r>
      <w:r>
        <w:rPr>
          <w:rFonts w:hint="eastAsia" w:hAnsi="仿宋" w:cs="仿宋"/>
          <w:b w:val="0"/>
          <w:bCs/>
          <w:sz w:val="32"/>
          <w:szCs w:val="32"/>
        </w:rPr>
        <w:fldChar w:fldCharType="end"/>
      </w:r>
      <w:r>
        <w:rPr>
          <w:rFonts w:hint="eastAsia" w:hAnsi="仿宋" w:cs="仿宋"/>
          <w:b w:val="0"/>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"_Toc20473" </w:instrText>
      </w:r>
      <w:r>
        <w:fldChar w:fldCharType="separate"/>
      </w:r>
      <w:r>
        <w:rPr>
          <w:rFonts w:hint="eastAsia" w:ascii="仿宋_GB2312" w:hAnsi="仿宋" w:eastAsia="仿宋_GB2312" w:cs="仿宋"/>
          <w:bCs/>
          <w:sz w:val="32"/>
          <w:szCs w:val="32"/>
        </w:rPr>
        <w:t>（一）绩效分析</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_Toc20473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7</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"_Toc28535" </w:instrText>
      </w:r>
      <w:r>
        <w:fldChar w:fldCharType="separate"/>
      </w:r>
      <w:r>
        <w:rPr>
          <w:rFonts w:hint="eastAsia" w:ascii="仿宋_GB2312" w:hAnsi="仿宋" w:eastAsia="仿宋_GB2312" w:cs="仿宋"/>
          <w:bCs/>
          <w:sz w:val="32"/>
          <w:szCs w:val="32"/>
        </w:rPr>
        <w:t>（二）项目绩效控制评价分析</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_Toc28535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7</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2"/>
        <w:tabs>
          <w:tab w:val="right" w:leader="dot" w:pos="9072"/>
        </w:tabs>
        <w:spacing w:line="360" w:lineRule="auto"/>
        <w:rPr>
          <w:rFonts w:ascii="仿宋_GB2312" w:hAnsi="仿宋" w:eastAsia="仿宋_GB2312" w:cs="仿宋"/>
          <w:bCs/>
          <w:sz w:val="32"/>
          <w:szCs w:val="32"/>
        </w:rPr>
      </w:pPr>
      <w:r>
        <w:fldChar w:fldCharType="begin"/>
      </w:r>
      <w:r>
        <w:instrText xml:space="preserve"> HYPERLINK \l "_Toc25565" </w:instrText>
      </w:r>
      <w:r>
        <w:fldChar w:fldCharType="separate"/>
      </w:r>
      <w:r>
        <w:rPr>
          <w:rFonts w:hint="eastAsia" w:ascii="仿宋_GB2312" w:hAnsi="仿宋" w:eastAsia="仿宋_GB2312" w:cs="仿宋"/>
          <w:bCs/>
          <w:sz w:val="32"/>
          <w:szCs w:val="32"/>
        </w:rPr>
        <w:t>（三）项目产出及效果评价分析</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_Toc25565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10</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 w:val="clear" w:pos="8608"/>
        </w:tabs>
        <w:spacing w:line="360" w:lineRule="auto"/>
        <w:rPr>
          <w:rFonts w:hAnsi="仿宋" w:cs="仿宋"/>
          <w:b w:val="0"/>
          <w:bCs/>
          <w:sz w:val="32"/>
          <w:szCs w:val="32"/>
        </w:rPr>
      </w:pPr>
      <w:r>
        <w:fldChar w:fldCharType="begin"/>
      </w:r>
      <w:r>
        <w:instrText xml:space="preserve"> HYPERLINK \l "_Toc12984" </w:instrText>
      </w:r>
      <w:r>
        <w:fldChar w:fldCharType="separate"/>
      </w:r>
      <w:r>
        <w:rPr>
          <w:rFonts w:hint="eastAsia" w:hAnsi="仿宋" w:cs="仿宋"/>
          <w:b w:val="0"/>
          <w:bCs/>
          <w:sz w:val="32"/>
          <w:szCs w:val="32"/>
        </w:rPr>
        <w:t>四、评价结论</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_Toc12984 </w:instrText>
      </w:r>
      <w:r>
        <w:rPr>
          <w:rFonts w:hint="eastAsia" w:hAnsi="仿宋" w:cs="仿宋"/>
          <w:b w:val="0"/>
          <w:bCs/>
          <w:sz w:val="32"/>
          <w:szCs w:val="32"/>
        </w:rPr>
        <w:fldChar w:fldCharType="separate"/>
      </w:r>
      <w:r>
        <w:rPr>
          <w:rFonts w:hint="eastAsia" w:hAnsi="仿宋" w:cs="仿宋"/>
          <w:b w:val="0"/>
          <w:bCs/>
          <w:sz w:val="32"/>
          <w:szCs w:val="32"/>
        </w:rPr>
        <w:t>12</w:t>
      </w:r>
      <w:r>
        <w:rPr>
          <w:rFonts w:hint="eastAsia" w:hAnsi="仿宋" w:cs="仿宋"/>
          <w:b w:val="0"/>
          <w:bCs/>
          <w:sz w:val="32"/>
          <w:szCs w:val="32"/>
        </w:rPr>
        <w:fldChar w:fldCharType="end"/>
      </w:r>
      <w:r>
        <w:rPr>
          <w:rFonts w:hint="eastAsia" w:hAnsi="仿宋" w:cs="仿宋"/>
          <w:b w:val="0"/>
          <w:bCs/>
          <w:sz w:val="32"/>
          <w:szCs w:val="32"/>
        </w:rPr>
        <w:fldChar w:fldCharType="end"/>
      </w:r>
    </w:p>
    <w:p>
      <w:pPr>
        <w:pStyle w:val="11"/>
        <w:tabs>
          <w:tab w:val="right" w:leader="dot" w:pos="9072"/>
          <w:tab w:val="clear" w:pos="8608"/>
        </w:tabs>
        <w:spacing w:line="360" w:lineRule="auto"/>
        <w:rPr>
          <w:rFonts w:hAnsi="仿宋" w:cs="仿宋"/>
          <w:b w:val="0"/>
          <w:bCs/>
          <w:sz w:val="32"/>
          <w:szCs w:val="32"/>
        </w:rPr>
      </w:pPr>
      <w:r>
        <w:fldChar w:fldCharType="begin"/>
      </w:r>
      <w:r>
        <w:instrText xml:space="preserve"> HYPERLINK \l "_Toc5109" </w:instrText>
      </w:r>
      <w:r>
        <w:fldChar w:fldCharType="separate"/>
      </w:r>
      <w:r>
        <w:rPr>
          <w:rFonts w:hint="eastAsia" w:hAnsi="仿宋" w:cs="仿宋"/>
          <w:b w:val="0"/>
          <w:bCs/>
          <w:sz w:val="32"/>
          <w:szCs w:val="32"/>
        </w:rPr>
        <w:t>五、问题</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_Toc5109 </w:instrText>
      </w:r>
      <w:r>
        <w:rPr>
          <w:rFonts w:hint="eastAsia" w:hAnsi="仿宋" w:cs="仿宋"/>
          <w:b w:val="0"/>
          <w:bCs/>
          <w:sz w:val="32"/>
          <w:szCs w:val="32"/>
        </w:rPr>
        <w:fldChar w:fldCharType="separate"/>
      </w:r>
      <w:r>
        <w:rPr>
          <w:rFonts w:hint="eastAsia" w:hAnsi="仿宋" w:cs="仿宋"/>
          <w:b w:val="0"/>
          <w:bCs/>
          <w:sz w:val="32"/>
          <w:szCs w:val="32"/>
        </w:rPr>
        <w:t>12</w:t>
      </w:r>
      <w:r>
        <w:rPr>
          <w:rFonts w:hint="eastAsia" w:hAnsi="仿宋" w:cs="仿宋"/>
          <w:b w:val="0"/>
          <w:bCs/>
          <w:sz w:val="32"/>
          <w:szCs w:val="32"/>
        </w:rPr>
        <w:fldChar w:fldCharType="end"/>
      </w:r>
      <w:r>
        <w:rPr>
          <w:rFonts w:hint="eastAsia" w:hAnsi="仿宋" w:cs="仿宋"/>
          <w:b w:val="0"/>
          <w:bCs/>
          <w:sz w:val="32"/>
          <w:szCs w:val="32"/>
        </w:rPr>
        <w:fldChar w:fldCharType="end"/>
      </w:r>
    </w:p>
    <w:p>
      <w:pPr>
        <w:pStyle w:val="11"/>
        <w:tabs>
          <w:tab w:val="right" w:leader="dot" w:pos="9072"/>
          <w:tab w:val="clear" w:pos="8608"/>
        </w:tabs>
        <w:spacing w:line="360" w:lineRule="auto"/>
        <w:rPr>
          <w:rFonts w:hAnsi="仿宋" w:cs="仿宋"/>
          <w:b w:val="0"/>
          <w:bCs/>
          <w:sz w:val="32"/>
          <w:szCs w:val="32"/>
        </w:rPr>
      </w:pPr>
      <w:r>
        <w:fldChar w:fldCharType="begin"/>
      </w:r>
      <w:r>
        <w:instrText xml:space="preserve"> HYPERLINK \l "_Toc20743" </w:instrText>
      </w:r>
      <w:r>
        <w:fldChar w:fldCharType="separate"/>
      </w:r>
      <w:r>
        <w:rPr>
          <w:rFonts w:hint="eastAsia" w:hAnsi="仿宋" w:cs="仿宋"/>
          <w:b w:val="0"/>
          <w:bCs/>
          <w:sz w:val="32"/>
          <w:szCs w:val="32"/>
        </w:rPr>
        <w:t>六、建议及整改措施</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_Toc20743 </w:instrText>
      </w:r>
      <w:r>
        <w:rPr>
          <w:rFonts w:hint="eastAsia" w:hAnsi="仿宋" w:cs="仿宋"/>
          <w:b w:val="0"/>
          <w:bCs/>
          <w:sz w:val="32"/>
          <w:szCs w:val="32"/>
        </w:rPr>
        <w:fldChar w:fldCharType="separate"/>
      </w:r>
      <w:r>
        <w:rPr>
          <w:rFonts w:hint="eastAsia" w:hAnsi="仿宋" w:cs="仿宋"/>
          <w:b w:val="0"/>
          <w:bCs/>
          <w:sz w:val="32"/>
          <w:szCs w:val="32"/>
        </w:rPr>
        <w:t>13</w:t>
      </w:r>
      <w:r>
        <w:rPr>
          <w:rFonts w:hint="eastAsia" w:hAnsi="仿宋" w:cs="仿宋"/>
          <w:b w:val="0"/>
          <w:bCs/>
          <w:sz w:val="32"/>
          <w:szCs w:val="32"/>
        </w:rPr>
        <w:fldChar w:fldCharType="end"/>
      </w:r>
      <w:r>
        <w:rPr>
          <w:rFonts w:hint="eastAsia" w:hAnsi="仿宋" w:cs="仿宋"/>
          <w:b w:val="0"/>
          <w:bCs/>
          <w:sz w:val="32"/>
          <w:szCs w:val="32"/>
        </w:rPr>
        <w:fldChar w:fldCharType="end"/>
      </w:r>
    </w:p>
    <w:p>
      <w:pPr>
        <w:pStyle w:val="11"/>
        <w:tabs>
          <w:tab w:val="right" w:leader="dot" w:pos="9072"/>
          <w:tab w:val="clear" w:pos="8608"/>
        </w:tabs>
        <w:spacing w:line="360" w:lineRule="auto"/>
        <w:rPr>
          <w:sz w:val="32"/>
          <w:szCs w:val="32"/>
        </w:rPr>
      </w:pPr>
      <w:r>
        <w:fldChar w:fldCharType="begin"/>
      </w:r>
      <w:r>
        <w:instrText xml:space="preserve"> HYPERLINK \l "_Toc22755" </w:instrText>
      </w:r>
      <w:r>
        <w:fldChar w:fldCharType="separate"/>
      </w:r>
      <w:r>
        <w:rPr>
          <w:rFonts w:hint="eastAsia" w:hAnsi="仿宋" w:cs="仿宋"/>
          <w:b w:val="0"/>
          <w:bCs/>
          <w:sz w:val="32"/>
          <w:szCs w:val="32"/>
        </w:rPr>
        <w:t>七、附件</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_Toc22755 </w:instrText>
      </w:r>
      <w:r>
        <w:rPr>
          <w:rFonts w:hint="eastAsia" w:hAnsi="仿宋" w:cs="仿宋"/>
          <w:b w:val="0"/>
          <w:bCs/>
          <w:sz w:val="32"/>
          <w:szCs w:val="32"/>
        </w:rPr>
        <w:fldChar w:fldCharType="separate"/>
      </w:r>
      <w:r>
        <w:rPr>
          <w:rFonts w:hint="eastAsia" w:hAnsi="仿宋" w:cs="仿宋"/>
          <w:b w:val="0"/>
          <w:bCs/>
          <w:sz w:val="32"/>
          <w:szCs w:val="32"/>
        </w:rPr>
        <w:t>15</w:t>
      </w:r>
      <w:r>
        <w:rPr>
          <w:rFonts w:hint="eastAsia" w:hAnsi="仿宋" w:cs="仿宋"/>
          <w:b w:val="0"/>
          <w:bCs/>
          <w:sz w:val="32"/>
          <w:szCs w:val="32"/>
        </w:rPr>
        <w:fldChar w:fldCharType="end"/>
      </w:r>
      <w:r>
        <w:rPr>
          <w:rFonts w:hint="eastAsia" w:hAnsi="仿宋" w:cs="仿宋"/>
          <w:b w:val="0"/>
          <w:bCs/>
          <w:sz w:val="32"/>
          <w:szCs w:val="32"/>
        </w:rPr>
        <w:fldChar w:fldCharType="end"/>
      </w:r>
    </w:p>
    <w:p>
      <w:pPr>
        <w:tabs>
          <w:tab w:val="right" w:leader="dot" w:pos="8222"/>
        </w:tabs>
        <w:spacing w:line="360" w:lineRule="auto"/>
        <w:rPr>
          <w:rFonts w:ascii="仿宋_GB2312" w:eastAsia="仿宋_GB2312"/>
          <w:sz w:val="32"/>
          <w:szCs w:val="32"/>
        </w:rPr>
      </w:pPr>
      <w:r>
        <w:rPr>
          <w:rFonts w:hint="eastAsia" w:ascii="仿宋_GB2312" w:eastAsia="仿宋_GB2312"/>
          <w:sz w:val="32"/>
          <w:szCs w:val="32"/>
        </w:rPr>
        <w:fldChar w:fldCharType="end"/>
      </w:r>
    </w:p>
    <w:p>
      <w:pPr>
        <w:tabs>
          <w:tab w:val="right" w:leader="dot" w:pos="8222"/>
        </w:tabs>
        <w:spacing w:line="360" w:lineRule="auto"/>
        <w:rPr>
          <w:rFonts w:ascii="仿宋_GB2312" w:eastAsia="仿宋_GB2312"/>
          <w:sz w:val="32"/>
          <w:szCs w:val="32"/>
        </w:rPr>
        <w:sectPr>
          <w:footerReference r:id="rId3" w:type="first"/>
          <w:pgSz w:w="11906" w:h="16838"/>
          <w:pgMar w:top="1440" w:right="1417" w:bottom="1440" w:left="1417" w:header="851" w:footer="992" w:gutter="0"/>
          <w:cols w:space="0" w:num="1"/>
          <w:titlePg/>
          <w:docGrid w:linePitch="312" w:charSpace="0"/>
        </w:sectPr>
      </w:pPr>
    </w:p>
    <w:p>
      <w:pPr>
        <w:jc w:val="center"/>
        <w:rPr>
          <w:rFonts w:ascii="宋体" w:hAnsi="宋体"/>
          <w:b/>
          <w:snapToGrid w:val="0"/>
          <w:kern w:val="0"/>
          <w:sz w:val="40"/>
          <w:szCs w:val="40"/>
        </w:rPr>
      </w:pPr>
      <w:r>
        <w:rPr>
          <w:rFonts w:hint="eastAsia" w:ascii="宋体" w:hAnsi="宋体"/>
          <w:b/>
          <w:snapToGrid w:val="0"/>
          <w:kern w:val="0"/>
          <w:sz w:val="40"/>
          <w:szCs w:val="40"/>
        </w:rPr>
        <w:t>香河县教育和体育局</w:t>
      </w:r>
    </w:p>
    <w:p>
      <w:pPr>
        <w:jc w:val="center"/>
        <w:rPr>
          <w:rFonts w:ascii="宋体" w:hAnsi="宋体"/>
          <w:b/>
          <w:snapToGrid w:val="0"/>
          <w:kern w:val="0"/>
          <w:sz w:val="40"/>
          <w:szCs w:val="40"/>
        </w:rPr>
      </w:pPr>
      <w:r>
        <w:rPr>
          <w:rFonts w:hint="eastAsia" w:ascii="宋体" w:hAnsi="宋体"/>
          <w:b/>
          <w:snapToGrid w:val="0"/>
          <w:kern w:val="0"/>
          <w:sz w:val="40"/>
          <w:szCs w:val="40"/>
        </w:rPr>
        <w:t>中小学安防建设项目</w:t>
      </w:r>
      <w:r>
        <w:rPr>
          <w:rFonts w:hint="eastAsia" w:ascii="宋体" w:hAnsi="宋体"/>
          <w:b/>
          <w:snapToGrid w:val="0"/>
          <w:kern w:val="0"/>
          <w:sz w:val="40"/>
          <w:szCs w:val="40"/>
          <w:lang w:val="en-US" w:eastAsia="zh-CN"/>
        </w:rPr>
        <w:t>资金</w:t>
      </w:r>
      <w:r>
        <w:rPr>
          <w:rFonts w:hint="eastAsia" w:ascii="宋体" w:hAnsi="宋体"/>
          <w:b/>
          <w:snapToGrid w:val="0"/>
          <w:kern w:val="0"/>
          <w:sz w:val="40"/>
          <w:szCs w:val="40"/>
        </w:rPr>
        <w:t>项目</w:t>
      </w:r>
    </w:p>
    <w:p>
      <w:pPr>
        <w:jc w:val="center"/>
        <w:rPr>
          <w:rFonts w:ascii="宋体" w:hAnsi="宋体"/>
          <w:b/>
          <w:snapToGrid w:val="0"/>
          <w:kern w:val="0"/>
          <w:sz w:val="44"/>
          <w:szCs w:val="44"/>
        </w:rPr>
      </w:pPr>
      <w:r>
        <w:rPr>
          <w:rFonts w:hint="eastAsia" w:ascii="宋体" w:hAnsi="宋体"/>
          <w:b/>
          <w:snapToGrid w:val="0"/>
          <w:kern w:val="0"/>
          <w:sz w:val="40"/>
          <w:szCs w:val="40"/>
        </w:rPr>
        <w:t>绩效评价报告</w:t>
      </w:r>
    </w:p>
    <w:p>
      <w:pPr>
        <w:jc w:val="center"/>
        <w:rPr>
          <w:rFonts w:ascii="仿宋_GB2312" w:hAnsi="宋体" w:eastAsia="仿宋_GB2312"/>
          <w:b/>
          <w:snapToGrid w:val="0"/>
          <w:kern w:val="0"/>
          <w:sz w:val="44"/>
          <w:szCs w:val="44"/>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进一步提高财政支出管理水平，检验财政支出预期目标实现程度，考核财政支出效率和综合效果，为以后年度财政资金安排提供重要依据，根据重点项目绩效评价管理办法等文件规定，香河县财政局（以下简称县财政局）成立绩效评价工作组，对“中小学安防建设项目</w:t>
      </w:r>
      <w:r>
        <w:rPr>
          <w:rFonts w:hint="eastAsia" w:ascii="仿宋_GB2312" w:eastAsia="仿宋_GB2312"/>
          <w:sz w:val="32"/>
          <w:szCs w:val="32"/>
          <w:lang w:val="en-US" w:eastAsia="zh-CN"/>
        </w:rPr>
        <w:t>资金</w:t>
      </w:r>
      <w:r>
        <w:rPr>
          <w:rFonts w:hint="eastAsia" w:ascii="仿宋_GB2312" w:eastAsia="仿宋_GB2312"/>
          <w:sz w:val="32"/>
          <w:szCs w:val="32"/>
        </w:rPr>
        <w:t>”项目的绩效情况实施评价，形成本绩效评价报告</w:t>
      </w:r>
      <w:bookmarkStart w:id="1" w:name="_Toc365968747"/>
      <w:r>
        <w:rPr>
          <w:rFonts w:hint="eastAsia" w:ascii="仿宋_GB2312" w:eastAsia="仿宋_GB2312"/>
          <w:sz w:val="32"/>
          <w:szCs w:val="32"/>
        </w:rPr>
        <w:t>。</w:t>
      </w:r>
    </w:p>
    <w:p>
      <w:pPr>
        <w:pStyle w:val="2"/>
        <w:spacing w:line="360" w:lineRule="auto"/>
        <w:ind w:left="0" w:firstLine="835" w:firstLineChars="260"/>
      </w:pPr>
      <w:bookmarkStart w:id="2" w:name="_Toc15332"/>
      <w:bookmarkStart w:id="3" w:name="_Toc426226402"/>
      <w:bookmarkStart w:id="4" w:name="_Toc426246473"/>
      <w:r>
        <w:rPr>
          <w:rFonts w:hint="eastAsia"/>
        </w:rPr>
        <w:t>一、项目概述</w:t>
      </w:r>
      <w:bookmarkEnd w:id="1"/>
      <w:bookmarkEnd w:id="2"/>
      <w:bookmarkEnd w:id="3"/>
      <w:bookmarkEnd w:id="4"/>
    </w:p>
    <w:p>
      <w:pPr>
        <w:pStyle w:val="3"/>
        <w:spacing w:line="360" w:lineRule="auto"/>
        <w:ind w:firstLine="643"/>
        <w:rPr>
          <w:b/>
        </w:rPr>
      </w:pPr>
      <w:bookmarkStart w:id="5" w:name="_Toc14107"/>
      <w:bookmarkStart w:id="6" w:name="_Toc426226403"/>
      <w:bookmarkStart w:id="7" w:name="_Toc426246474"/>
      <w:bookmarkStart w:id="8" w:name="_Toc365968748"/>
      <w:r>
        <w:rPr>
          <w:rFonts w:hint="eastAsia"/>
          <w:b/>
        </w:rPr>
        <w:t>（一）项目概况</w:t>
      </w:r>
      <w:bookmarkEnd w:id="5"/>
      <w:bookmarkEnd w:id="6"/>
      <w:bookmarkEnd w:id="7"/>
      <w:bookmarkEnd w:id="8"/>
    </w:p>
    <w:p>
      <w:pPr>
        <w:spacing w:line="360" w:lineRule="auto"/>
        <w:ind w:firstLine="616" w:firstLineChars="200"/>
        <w:rPr>
          <w:rFonts w:hint="eastAsia" w:ascii="仿宋_GB2312" w:hAnsi="Times New Roman" w:eastAsia="仿宋_GB2312"/>
          <w:spacing w:val="-6"/>
          <w:sz w:val="32"/>
          <w:szCs w:val="32"/>
        </w:rPr>
      </w:pPr>
      <w:bookmarkStart w:id="9" w:name="_Toc426226404"/>
      <w:bookmarkStart w:id="10" w:name="_Toc365968749"/>
      <w:r>
        <w:rPr>
          <w:rFonts w:hint="eastAsia" w:ascii="仿宋_GB2312" w:hAnsi="Times New Roman" w:eastAsia="仿宋_GB2312"/>
          <w:spacing w:val="-6"/>
          <w:sz w:val="32"/>
          <w:szCs w:val="32"/>
        </w:rPr>
        <w:t>香河县教育和体育局（以下简称“县教育体育局”）根据2019年5月17日公安部、教育部在南京召开的全国校园安全工作经验交流现场会的会议精神，按照廊坊市公安局、教育局联合下发的《廊坊市中小学幼儿园安全防范工作规范》（廊公办〔2019﹞61号）</w:t>
      </w:r>
      <w:r>
        <w:rPr>
          <w:rFonts w:hint="eastAsia" w:ascii="仿宋_GB2312" w:hAnsi="Times New Roman" w:eastAsia="仿宋_GB2312"/>
          <w:spacing w:val="-6"/>
          <w:sz w:val="32"/>
          <w:szCs w:val="32"/>
          <w:lang w:val="en-US" w:eastAsia="zh-CN"/>
        </w:rPr>
        <w:t>中</w:t>
      </w:r>
      <w:r>
        <w:rPr>
          <w:rFonts w:hint="eastAsia" w:ascii="仿宋_GB2312" w:hAnsi="Times New Roman" w:eastAsia="仿宋_GB2312"/>
          <w:spacing w:val="-6"/>
          <w:sz w:val="32"/>
          <w:szCs w:val="32"/>
          <w:lang w:eastAsia="zh-CN"/>
        </w:rPr>
        <w:t>“</w:t>
      </w:r>
      <w:r>
        <w:rPr>
          <w:rFonts w:hint="eastAsia" w:ascii="仿宋_GB2312" w:hAnsi="Times New Roman" w:eastAsia="仿宋_GB2312"/>
          <w:spacing w:val="-6"/>
          <w:sz w:val="32"/>
          <w:szCs w:val="32"/>
          <w:lang w:val="en-US" w:eastAsia="zh-CN"/>
        </w:rPr>
        <w:t>根据学校校门及周边50米区域治安、交通环境实际情况，因地制宜设置家长等候区域，设置隔离栏、隔离墩、减速带或升降柱等硬质防冲撞设施，确保师生出入安全，秩序井然。</w:t>
      </w:r>
      <w:r>
        <w:rPr>
          <w:rFonts w:hint="eastAsia" w:ascii="仿宋_GB2312" w:hAnsi="Times New Roman" w:eastAsia="仿宋_GB2312"/>
          <w:spacing w:val="-6"/>
          <w:sz w:val="32"/>
          <w:szCs w:val="32"/>
          <w:lang w:eastAsia="zh-CN"/>
        </w:rPr>
        <w:t>”</w:t>
      </w:r>
      <w:r>
        <w:rPr>
          <w:rFonts w:hint="eastAsia" w:ascii="仿宋_GB2312" w:hAnsi="Times New Roman" w:eastAsia="仿宋_GB2312"/>
          <w:spacing w:val="-6"/>
          <w:sz w:val="32"/>
          <w:szCs w:val="32"/>
        </w:rPr>
        <w:t>要求，</w:t>
      </w:r>
      <w:r>
        <w:rPr>
          <w:rFonts w:hint="eastAsia" w:ascii="仿宋_GB2312" w:hAnsi="Times New Roman" w:eastAsia="仿宋_GB2312"/>
          <w:spacing w:val="-6"/>
          <w:sz w:val="32"/>
          <w:szCs w:val="32"/>
          <w:lang w:val="en-US" w:eastAsia="zh-CN"/>
        </w:rPr>
        <w:t>结合</w:t>
      </w:r>
      <w:r>
        <w:rPr>
          <w:rFonts w:hint="eastAsia" w:ascii="仿宋_GB2312" w:hAnsi="Times New Roman" w:eastAsia="仿宋_GB2312"/>
          <w:spacing w:val="-6"/>
          <w:sz w:val="32"/>
          <w:szCs w:val="32"/>
        </w:rPr>
        <w:t>香河县辖区内大部分学校紧邻主街道，学校属于人员密集场所，尤其是上下学期间，流动量大，易发生群体伤害事件，</w:t>
      </w:r>
      <w:r>
        <w:rPr>
          <w:rFonts w:hint="eastAsia" w:ascii="仿宋_GB2312" w:hAnsi="Times New Roman" w:eastAsia="仿宋_GB2312"/>
          <w:spacing w:val="-6"/>
          <w:sz w:val="32"/>
          <w:szCs w:val="32"/>
          <w:lang w:val="en-US" w:eastAsia="zh-CN"/>
        </w:rPr>
        <w:t>曾</w:t>
      </w:r>
      <w:r>
        <w:rPr>
          <w:rFonts w:hint="eastAsia" w:ascii="仿宋_GB2312" w:hAnsi="Times New Roman" w:eastAsia="仿宋_GB2312"/>
          <w:spacing w:val="-6"/>
          <w:sz w:val="32"/>
          <w:szCs w:val="32"/>
        </w:rPr>
        <w:t>多次发生机动车冲撞师生事件</w:t>
      </w:r>
      <w:r>
        <w:rPr>
          <w:rFonts w:hint="eastAsia" w:ascii="仿宋_GB2312" w:hAnsi="Times New Roman" w:eastAsia="仿宋_GB2312"/>
          <w:spacing w:val="-6"/>
          <w:sz w:val="32"/>
          <w:szCs w:val="32"/>
          <w:lang w:val="en-US" w:eastAsia="zh-CN"/>
        </w:rPr>
        <w:t>等实际情况</w:t>
      </w:r>
      <w:r>
        <w:rPr>
          <w:rFonts w:hint="eastAsia" w:ascii="仿宋_GB2312" w:hAnsi="Times New Roman" w:eastAsia="仿宋_GB2312"/>
          <w:spacing w:val="-6"/>
          <w:sz w:val="32"/>
          <w:szCs w:val="32"/>
        </w:rPr>
        <w:t>，申报了中小学安防建设项目。</w:t>
      </w:r>
    </w:p>
    <w:p>
      <w:pPr>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项目实施内容包括：</w:t>
      </w:r>
      <w:bookmarkEnd w:id="9"/>
      <w:r>
        <w:rPr>
          <w:rFonts w:hint="eastAsia" w:ascii="仿宋_GB2312" w:hAnsi="Times New Roman" w:eastAsia="仿宋_GB2312" w:cs="仿宋_GB2312"/>
          <w:sz w:val="32"/>
          <w:szCs w:val="32"/>
        </w:rPr>
        <w:t>为全县27所</w:t>
      </w:r>
      <w:r>
        <w:rPr>
          <w:rFonts w:hint="eastAsia" w:ascii="仿宋_GB2312" w:hAnsi="Times New Roman" w:eastAsia="仿宋_GB2312" w:cs="仿宋_GB2312"/>
          <w:sz w:val="32"/>
          <w:szCs w:val="32"/>
          <w:lang w:val="en-US" w:eastAsia="zh-CN"/>
        </w:rPr>
        <w:t>中</w:t>
      </w:r>
      <w:r>
        <w:rPr>
          <w:rFonts w:hint="eastAsia" w:ascii="仿宋_GB2312" w:hAnsi="Times New Roman" w:eastAsia="仿宋_GB2312" w:cs="仿宋_GB2312"/>
          <w:sz w:val="32"/>
          <w:szCs w:val="32"/>
        </w:rPr>
        <w:t>小学、4所幼儿园安装152根</w:t>
      </w:r>
      <w:r>
        <w:rPr>
          <w:rFonts w:hint="eastAsia" w:ascii="仿宋_GB2312" w:hAnsi="Times New Roman" w:eastAsia="仿宋_GB2312" w:cs="仿宋_GB2312"/>
          <w:sz w:val="32"/>
          <w:szCs w:val="32"/>
          <w:lang w:val="en-US" w:eastAsia="zh-CN"/>
        </w:rPr>
        <w:t>智能</w:t>
      </w:r>
      <w:r>
        <w:rPr>
          <w:rFonts w:hint="eastAsia" w:ascii="仿宋_GB2312" w:hAnsi="Times New Roman" w:eastAsia="仿宋_GB2312" w:cs="仿宋_GB2312"/>
          <w:sz w:val="32"/>
          <w:szCs w:val="32"/>
        </w:rPr>
        <w:t>升降柱。通过项目实施内容，能保护在校师生的人身财产安全的同时，</w:t>
      </w:r>
      <w:r>
        <w:rPr>
          <w:rFonts w:hint="eastAsia" w:ascii="仿宋_GB2312" w:hAnsi="Times New Roman" w:eastAsia="仿宋_GB2312" w:cs="仿宋_GB2312"/>
          <w:sz w:val="32"/>
          <w:szCs w:val="32"/>
          <w:lang w:val="en-US" w:eastAsia="zh-CN"/>
        </w:rPr>
        <w:t>给予</w:t>
      </w:r>
      <w:r>
        <w:rPr>
          <w:rFonts w:hint="eastAsia" w:ascii="仿宋_GB2312" w:hAnsi="Times New Roman" w:eastAsia="仿宋_GB2312" w:cs="仿宋_GB2312"/>
          <w:sz w:val="32"/>
          <w:szCs w:val="32"/>
        </w:rPr>
        <w:t>在校师生的安全和谐的校园环境有效保障学生的安全，并提高校园安保的管理水平。</w:t>
      </w:r>
    </w:p>
    <w:p>
      <w:pPr>
        <w:pStyle w:val="3"/>
        <w:spacing w:line="360" w:lineRule="auto"/>
        <w:ind w:firstLine="643"/>
        <w:rPr>
          <w:b/>
        </w:rPr>
      </w:pPr>
      <w:bookmarkStart w:id="11" w:name="_Toc426226405"/>
      <w:bookmarkStart w:id="12" w:name="_Toc426246475"/>
      <w:bookmarkStart w:id="13" w:name="_Toc18068"/>
      <w:r>
        <w:rPr>
          <w:rFonts w:hint="eastAsia"/>
          <w:b/>
        </w:rPr>
        <w:t>（二）项目资金</w:t>
      </w:r>
      <w:bookmarkEnd w:id="10"/>
      <w:bookmarkEnd w:id="11"/>
      <w:bookmarkEnd w:id="12"/>
      <w:r>
        <w:rPr>
          <w:rFonts w:hint="eastAsia"/>
          <w:b/>
        </w:rPr>
        <w:t>细化分配情况</w:t>
      </w:r>
      <w:bookmarkEnd w:id="13"/>
    </w:p>
    <w:p>
      <w:pPr>
        <w:spacing w:line="360" w:lineRule="auto"/>
        <w:ind w:firstLine="640" w:firstLineChars="200"/>
        <w:rPr>
          <w:rFonts w:ascii="仿宋_GB2312" w:hAnsi="宋体" w:eastAsia="仿宋_GB2312"/>
          <w:sz w:val="32"/>
          <w:szCs w:val="32"/>
        </w:rPr>
      </w:pPr>
      <w:bookmarkStart w:id="14" w:name="_Toc426226406"/>
      <w:bookmarkStart w:id="15" w:name="_Toc365968750"/>
      <w:r>
        <w:rPr>
          <w:rFonts w:hint="eastAsia" w:ascii="仿宋_GB2312" w:hAnsi="宋体" w:eastAsia="仿宋_GB2312"/>
          <w:sz w:val="32"/>
          <w:szCs w:val="32"/>
          <w:highlight w:val="none"/>
        </w:rPr>
        <w:t>根据《</w:t>
      </w:r>
      <w:r>
        <w:rPr>
          <w:rFonts w:hint="eastAsia" w:ascii="仿宋_GB2312" w:hAnsi="Times New Roman" w:eastAsia="仿宋_GB2312"/>
          <w:spacing w:val="-6"/>
          <w:sz w:val="32"/>
          <w:szCs w:val="32"/>
          <w:highlight w:val="none"/>
          <w:lang w:val="en-US" w:eastAsia="zh-CN"/>
        </w:rPr>
        <w:t>香河县教育和体育局关于拨付中小学幼儿园安防建设资金的请示</w:t>
      </w:r>
      <w:r>
        <w:rPr>
          <w:rFonts w:hint="eastAsia" w:ascii="仿宋_GB2312" w:hAnsi="宋体" w:eastAsia="仿宋_GB2312"/>
          <w:sz w:val="32"/>
          <w:szCs w:val="32"/>
          <w:highlight w:val="none"/>
        </w:rPr>
        <w:t>》</w:t>
      </w:r>
      <w:r>
        <w:rPr>
          <w:rFonts w:hint="eastAsia" w:ascii="仿宋_GB2312" w:hAnsi="Times New Roman" w:eastAsia="仿宋_GB2312"/>
          <w:spacing w:val="-6"/>
          <w:sz w:val="32"/>
          <w:szCs w:val="32"/>
          <w:highlight w:val="none"/>
        </w:rPr>
        <w:t>（香</w:t>
      </w:r>
      <w:r>
        <w:rPr>
          <w:rFonts w:hint="eastAsia" w:ascii="仿宋_GB2312" w:hAnsi="Times New Roman" w:eastAsia="仿宋_GB2312"/>
          <w:spacing w:val="-6"/>
          <w:sz w:val="32"/>
          <w:szCs w:val="32"/>
          <w:highlight w:val="none"/>
          <w:lang w:val="en-US" w:eastAsia="zh-CN"/>
        </w:rPr>
        <w:t>教体请字</w:t>
      </w:r>
      <w:r>
        <w:rPr>
          <w:rFonts w:hint="eastAsia" w:ascii="仿宋_GB2312" w:hAnsi="宋体" w:eastAsia="仿宋_GB2312" w:cs="宋体"/>
          <w:spacing w:val="-6"/>
          <w:sz w:val="32"/>
          <w:szCs w:val="32"/>
          <w:highlight w:val="none"/>
        </w:rPr>
        <w:t>〔20</w:t>
      </w:r>
      <w:r>
        <w:rPr>
          <w:rFonts w:hint="eastAsia" w:ascii="仿宋_GB2312" w:hAnsi="宋体" w:eastAsia="仿宋_GB2312" w:cs="宋体"/>
          <w:spacing w:val="-6"/>
          <w:sz w:val="32"/>
          <w:szCs w:val="32"/>
          <w:highlight w:val="none"/>
          <w:lang w:val="en-US" w:eastAsia="zh-CN"/>
        </w:rPr>
        <w:t>19</w:t>
      </w:r>
      <w:r>
        <w:rPr>
          <w:rFonts w:hint="eastAsia" w:ascii="仿宋_GB2312" w:hAnsi="宋体" w:eastAsia="仿宋_GB2312" w:cs="宋体"/>
          <w:spacing w:val="-6"/>
          <w:sz w:val="32"/>
          <w:szCs w:val="32"/>
          <w:highlight w:val="none"/>
        </w:rPr>
        <w:t>〕</w:t>
      </w:r>
      <w:r>
        <w:rPr>
          <w:rFonts w:hint="eastAsia" w:ascii="仿宋_GB2312" w:hAnsi="Times New Roman" w:eastAsia="仿宋_GB2312"/>
          <w:spacing w:val="-6"/>
          <w:sz w:val="32"/>
          <w:szCs w:val="32"/>
          <w:highlight w:val="none"/>
          <w:lang w:val="en-US" w:eastAsia="zh-CN"/>
        </w:rPr>
        <w:t>116</w:t>
      </w:r>
      <w:r>
        <w:rPr>
          <w:rFonts w:hint="eastAsia" w:ascii="仿宋_GB2312" w:hAnsi="Times New Roman" w:eastAsia="仿宋_GB2312"/>
          <w:spacing w:val="-6"/>
          <w:sz w:val="32"/>
          <w:szCs w:val="32"/>
          <w:highlight w:val="none"/>
        </w:rPr>
        <w:t>号）</w:t>
      </w:r>
      <w:r>
        <w:rPr>
          <w:rFonts w:hint="eastAsia" w:ascii="仿宋_GB2312" w:hAnsi="宋体" w:eastAsia="仿宋_GB2312"/>
          <w:sz w:val="32"/>
          <w:szCs w:val="32"/>
          <w:highlight w:val="none"/>
        </w:rPr>
        <w:t>，</w:t>
      </w:r>
      <w:r>
        <w:rPr>
          <w:rFonts w:hint="eastAsia" w:ascii="仿宋_GB2312" w:hAnsi="Times New Roman" w:eastAsia="仿宋_GB2312"/>
          <w:spacing w:val="-6"/>
          <w:sz w:val="32"/>
          <w:szCs w:val="32"/>
        </w:rPr>
        <w:t>县教育体育局</w:t>
      </w:r>
      <w:r>
        <w:rPr>
          <w:rFonts w:hint="eastAsia" w:ascii="仿宋_GB2312" w:hAnsi="宋体" w:eastAsia="仿宋_GB2312"/>
          <w:sz w:val="32"/>
          <w:szCs w:val="32"/>
          <w:highlight w:val="none"/>
          <w:lang w:val="en-US" w:eastAsia="zh-CN"/>
        </w:rPr>
        <w:t>向区政府申请县财政</w:t>
      </w:r>
      <w:r>
        <w:rPr>
          <w:rFonts w:hint="eastAsia" w:ascii="仿宋_GB2312" w:hAnsi="宋体" w:eastAsia="仿宋_GB2312"/>
          <w:sz w:val="32"/>
          <w:szCs w:val="32"/>
          <w:highlight w:val="none"/>
        </w:rPr>
        <w:t>资金</w:t>
      </w:r>
      <w:r>
        <w:rPr>
          <w:rFonts w:hint="eastAsia" w:ascii="仿宋_GB2312" w:hAnsi="宋体" w:eastAsia="仿宋_GB2312"/>
          <w:sz w:val="32"/>
          <w:szCs w:val="32"/>
          <w:highlight w:val="none"/>
          <w:lang w:val="en-US" w:eastAsia="zh-CN"/>
        </w:rPr>
        <w:t>228.00</w:t>
      </w:r>
      <w:r>
        <w:rPr>
          <w:rFonts w:hint="eastAsia" w:ascii="仿宋_GB2312" w:hAnsi="Arial" w:eastAsia="仿宋_GB2312" w:cs="仿宋_GB2312"/>
          <w:sz w:val="32"/>
          <w:szCs w:val="32"/>
          <w:highlight w:val="none"/>
        </w:rPr>
        <w:t>万元</w:t>
      </w:r>
      <w:r>
        <w:rPr>
          <w:rFonts w:hint="eastAsia" w:ascii="仿宋_GB2312" w:hAnsi="Arial" w:eastAsia="仿宋_GB2312" w:cs="仿宋_GB2312"/>
          <w:sz w:val="32"/>
          <w:szCs w:val="32"/>
          <w:highlight w:val="none"/>
          <w:lang w:eastAsia="zh-CN"/>
        </w:rPr>
        <w:t>。</w:t>
      </w:r>
      <w:r>
        <w:rPr>
          <w:rFonts w:hint="eastAsia" w:ascii="仿宋_GB2312" w:hAnsi="Arial" w:eastAsia="仿宋_GB2312" w:cs="仿宋_GB2312"/>
          <w:sz w:val="32"/>
          <w:szCs w:val="32"/>
          <w:highlight w:val="none"/>
          <w:lang w:val="en-US" w:eastAsia="zh-CN"/>
        </w:rPr>
        <w:t>2020年</w:t>
      </w:r>
      <w:r>
        <w:rPr>
          <w:rFonts w:hint="eastAsia" w:ascii="仿宋_GB2312" w:hAnsi="Times New Roman" w:eastAsia="仿宋_GB2312"/>
          <w:spacing w:val="-6"/>
          <w:sz w:val="32"/>
          <w:szCs w:val="32"/>
        </w:rPr>
        <w:t>县教育体育局</w:t>
      </w:r>
      <w:r>
        <w:rPr>
          <w:rFonts w:hint="eastAsia" w:ascii="仿宋_GB2312" w:hAnsi="Times New Roman" w:eastAsia="仿宋_GB2312"/>
          <w:spacing w:val="-6"/>
          <w:sz w:val="32"/>
          <w:szCs w:val="32"/>
          <w:lang w:val="en-US" w:eastAsia="zh-CN"/>
        </w:rPr>
        <w:t>按照中标金额申报财政资金，</w:t>
      </w:r>
      <w:r>
        <w:rPr>
          <w:rFonts w:hint="eastAsia" w:ascii="仿宋_GB2312" w:hAnsi="Arial" w:eastAsia="仿宋_GB2312" w:cs="仿宋_GB2312"/>
          <w:sz w:val="32"/>
          <w:szCs w:val="32"/>
          <w:highlight w:val="none"/>
        </w:rPr>
        <w:t>县</w:t>
      </w:r>
      <w:r>
        <w:rPr>
          <w:rFonts w:hint="eastAsia" w:ascii="仿宋_GB2312" w:hAnsi="Arial" w:eastAsia="仿宋_GB2312" w:cs="仿宋_GB2312"/>
          <w:sz w:val="32"/>
          <w:szCs w:val="32"/>
        </w:rPr>
        <w:t>财政局财政预算批复资金224.28万元</w:t>
      </w:r>
      <w:r>
        <w:rPr>
          <w:rFonts w:hint="eastAsia" w:ascii="仿宋_GB2312" w:hAnsi="Arial" w:eastAsia="仿宋_GB2312" w:cs="仿宋_GB2312"/>
          <w:sz w:val="32"/>
          <w:szCs w:val="32"/>
          <w:lang w:eastAsia="zh-CN"/>
        </w:rPr>
        <w:t>，</w:t>
      </w:r>
      <w:r>
        <w:rPr>
          <w:rFonts w:hint="eastAsia" w:ascii="仿宋_GB2312" w:hAnsi="Arial" w:eastAsia="仿宋_GB2312" w:cs="仿宋_GB2312"/>
          <w:sz w:val="32"/>
          <w:szCs w:val="32"/>
        </w:rPr>
        <w:t>实际到位资金</w:t>
      </w:r>
      <w:r>
        <w:rPr>
          <w:rFonts w:hint="eastAsia" w:ascii="仿宋_GB2312" w:hAnsi="宋体" w:eastAsia="仿宋_GB2312"/>
          <w:sz w:val="32"/>
          <w:szCs w:val="32"/>
        </w:rPr>
        <w:t>213.066</w:t>
      </w:r>
      <w:r>
        <w:rPr>
          <w:rFonts w:hint="eastAsia" w:ascii="仿宋_GB2312" w:hAnsi="Arial" w:eastAsia="仿宋_GB2312" w:cs="仿宋_GB2312"/>
          <w:sz w:val="32"/>
          <w:szCs w:val="32"/>
        </w:rPr>
        <w:t>万元，截至20</w:t>
      </w:r>
      <w:r>
        <w:rPr>
          <w:rFonts w:hint="eastAsia" w:ascii="仿宋_GB2312" w:hAnsi="Arial" w:eastAsia="仿宋_GB2312" w:cs="仿宋_GB2312"/>
          <w:sz w:val="32"/>
          <w:szCs w:val="32"/>
          <w:lang w:val="en-US" w:eastAsia="zh-CN"/>
        </w:rPr>
        <w:t>20</w:t>
      </w:r>
      <w:r>
        <w:rPr>
          <w:rFonts w:hint="eastAsia" w:ascii="仿宋_GB2312" w:hAnsi="Arial" w:eastAsia="仿宋_GB2312" w:cs="仿宋_GB2312"/>
          <w:sz w:val="32"/>
          <w:szCs w:val="32"/>
        </w:rPr>
        <w:t>年</w:t>
      </w:r>
      <w:r>
        <w:rPr>
          <w:rFonts w:hint="eastAsia" w:ascii="仿宋_GB2312" w:hAnsi="Arial" w:eastAsia="仿宋_GB2312" w:cs="仿宋_GB2312"/>
          <w:sz w:val="32"/>
          <w:szCs w:val="32"/>
          <w:lang w:val="en-US" w:eastAsia="zh-CN"/>
        </w:rPr>
        <w:t>8</w:t>
      </w:r>
      <w:r>
        <w:rPr>
          <w:rFonts w:hint="eastAsia" w:ascii="仿宋_GB2312" w:hAnsi="Arial" w:eastAsia="仿宋_GB2312" w:cs="仿宋_GB2312"/>
          <w:sz w:val="32"/>
          <w:szCs w:val="32"/>
        </w:rPr>
        <w:t>月31日使用资金</w:t>
      </w:r>
      <w:r>
        <w:rPr>
          <w:rFonts w:hint="eastAsia" w:ascii="仿宋_GB2312" w:hAnsi="宋体" w:eastAsia="仿宋_GB2312"/>
          <w:sz w:val="32"/>
          <w:szCs w:val="32"/>
        </w:rPr>
        <w:t>213.066</w:t>
      </w:r>
      <w:r>
        <w:rPr>
          <w:rFonts w:hint="eastAsia" w:ascii="仿宋_GB2312" w:eastAsia="仿宋_GB2312"/>
          <w:sz w:val="32"/>
          <w:szCs w:val="32"/>
        </w:rPr>
        <w:t>万元，预算执行率</w:t>
      </w:r>
      <w:r>
        <w:rPr>
          <w:rFonts w:hint="eastAsia" w:ascii="仿宋_GB2312" w:hAnsi="宋体" w:eastAsia="仿宋_GB2312"/>
          <w:sz w:val="32"/>
          <w:szCs w:val="32"/>
          <w:lang w:val="en-US" w:eastAsia="zh-CN"/>
        </w:rPr>
        <w:t>95</w:t>
      </w:r>
      <w:r>
        <w:rPr>
          <w:rFonts w:hint="eastAsia" w:ascii="仿宋_GB2312" w:eastAsia="仿宋_GB2312"/>
          <w:sz w:val="32"/>
          <w:szCs w:val="32"/>
        </w:rPr>
        <w:t>%</w:t>
      </w:r>
      <w:r>
        <w:rPr>
          <w:rFonts w:hint="eastAsia" w:ascii="仿宋_GB2312" w:hAnsi="宋体" w:eastAsia="仿宋_GB2312"/>
          <w:sz w:val="32"/>
          <w:szCs w:val="32"/>
        </w:rPr>
        <w:t>。</w:t>
      </w:r>
      <w:bookmarkEnd w:id="14"/>
      <w:bookmarkStart w:id="16" w:name="_Toc426226408"/>
    </w:p>
    <w:p>
      <w:pPr>
        <w:pStyle w:val="3"/>
        <w:numPr>
          <w:ilvl w:val="0"/>
          <w:numId w:val="1"/>
        </w:numPr>
        <w:spacing w:line="360" w:lineRule="auto"/>
        <w:ind w:firstLine="643"/>
        <w:rPr>
          <w:b/>
        </w:rPr>
      </w:pPr>
      <w:bookmarkStart w:id="17" w:name="_Toc2621"/>
      <w:bookmarkStart w:id="18" w:name="_Toc426246476"/>
      <w:r>
        <w:rPr>
          <w:rFonts w:hint="eastAsia"/>
          <w:b/>
        </w:rPr>
        <w:t>项目政策依据</w:t>
      </w:r>
      <w:bookmarkEnd w:id="17"/>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根据2019年5月17日公安部、教育部在南京召开的全国校园安全工作经验交流现场会的会议精神，按照廊坊市公安局、教育局联合下发的《廊坊市中小学幼儿园安全防范工作规范》（廊公办〔2019﹞61号）要求，申请设立中小学安防建设项目。</w:t>
      </w:r>
    </w:p>
    <w:p>
      <w:pPr>
        <w:pStyle w:val="3"/>
        <w:spacing w:line="360" w:lineRule="auto"/>
        <w:ind w:firstLine="643"/>
      </w:pPr>
      <w:bookmarkStart w:id="19" w:name="_Toc18615"/>
      <w:r>
        <w:rPr>
          <w:rFonts w:hint="eastAsia"/>
          <w:b/>
        </w:rPr>
        <w:t>（四）项目绩效目标</w:t>
      </w:r>
      <w:bookmarkEnd w:id="15"/>
      <w:bookmarkEnd w:id="16"/>
      <w:bookmarkEnd w:id="18"/>
      <w:bookmarkEnd w:id="19"/>
    </w:p>
    <w:p>
      <w:pPr>
        <w:pStyle w:val="31"/>
        <w:spacing w:line="360" w:lineRule="auto"/>
        <w:ind w:firstLine="640"/>
        <w:rPr>
          <w:rFonts w:hint="eastAsia" w:ascii="仿宋_GB2312" w:hAnsi="宋体"/>
          <w:b w:val="0"/>
          <w:bCs w:val="0"/>
          <w:sz w:val="32"/>
          <w:szCs w:val="32"/>
          <w:highlight w:val="none"/>
          <w:lang w:val="en-US" w:eastAsia="zh-CN"/>
        </w:rPr>
      </w:pPr>
      <w:bookmarkStart w:id="20" w:name="_Toc426226409"/>
      <w:r>
        <w:rPr>
          <w:rFonts w:hint="eastAsia" w:ascii="仿宋_GB2312" w:hAnsi="宋体"/>
          <w:b w:val="0"/>
          <w:bCs w:val="0"/>
          <w:sz w:val="32"/>
          <w:szCs w:val="32"/>
          <w:highlight w:val="none"/>
          <w:lang w:eastAsia="zh-CN"/>
        </w:rPr>
        <w:t>县教育体育局</w:t>
      </w:r>
      <w:r>
        <w:rPr>
          <w:rFonts w:hint="eastAsia" w:ascii="仿宋_GB2312" w:hAnsi="宋体"/>
          <w:b w:val="0"/>
          <w:bCs w:val="0"/>
          <w:sz w:val="32"/>
          <w:szCs w:val="32"/>
          <w:highlight w:val="none"/>
        </w:rPr>
        <w:t>提供</w:t>
      </w:r>
      <w:r>
        <w:rPr>
          <w:rFonts w:hint="eastAsia" w:ascii="仿宋_GB2312" w:hAnsi="宋体"/>
          <w:b w:val="0"/>
          <w:bCs w:val="0"/>
          <w:sz w:val="32"/>
          <w:szCs w:val="32"/>
          <w:highlight w:val="none"/>
          <w:lang w:val="en-US" w:eastAsia="zh-CN"/>
        </w:rPr>
        <w:t>汇总项目</w:t>
      </w:r>
      <w:r>
        <w:rPr>
          <w:rFonts w:hint="eastAsia" w:ascii="仿宋_GB2312" w:hAnsi="宋体"/>
          <w:b w:val="0"/>
          <w:bCs w:val="0"/>
          <w:sz w:val="32"/>
          <w:szCs w:val="32"/>
          <w:highlight w:val="none"/>
        </w:rPr>
        <w:t>绩效目标表，</w:t>
      </w:r>
      <w:r>
        <w:rPr>
          <w:rFonts w:hint="eastAsia" w:ascii="仿宋_GB2312" w:hAnsi="宋体"/>
          <w:b w:val="0"/>
          <w:bCs w:val="0"/>
          <w:sz w:val="32"/>
          <w:szCs w:val="32"/>
          <w:highlight w:val="none"/>
          <w:lang w:val="en-US" w:eastAsia="zh-CN"/>
        </w:rPr>
        <w:t>未提交本项目的绩效目标表</w:t>
      </w:r>
      <w:r>
        <w:rPr>
          <w:rFonts w:hint="eastAsia" w:ascii="仿宋_GB2312" w:hAnsi="宋体"/>
          <w:b w:val="0"/>
          <w:bCs w:val="0"/>
          <w:sz w:val="32"/>
          <w:szCs w:val="32"/>
          <w:highlight w:val="none"/>
        </w:rPr>
        <w:t>。</w:t>
      </w:r>
      <w:bookmarkEnd w:id="20"/>
      <w:bookmarkStart w:id="21" w:name="_Toc365968751"/>
      <w:r>
        <w:rPr>
          <w:rFonts w:hint="eastAsia" w:ascii="仿宋_GB2312" w:hAnsi="宋体"/>
          <w:b w:val="0"/>
          <w:bCs w:val="0"/>
          <w:sz w:val="32"/>
          <w:szCs w:val="32"/>
          <w:highlight w:val="none"/>
          <w:lang w:val="en-US" w:eastAsia="zh-CN"/>
        </w:rPr>
        <w:t>本次绩效评价，引用</w:t>
      </w:r>
      <w:r>
        <w:rPr>
          <w:rFonts w:hint="eastAsia" w:ascii="仿宋_GB2312" w:hAnsi="宋体"/>
          <w:b w:val="0"/>
          <w:bCs w:val="0"/>
          <w:sz w:val="32"/>
          <w:szCs w:val="32"/>
          <w:highlight w:val="none"/>
          <w:lang w:eastAsia="zh-CN"/>
        </w:rPr>
        <w:t>县教育体育局</w:t>
      </w:r>
      <w:r>
        <w:rPr>
          <w:rFonts w:hint="eastAsia" w:ascii="仿宋_GB2312" w:hAnsi="宋体"/>
          <w:b w:val="0"/>
          <w:bCs w:val="0"/>
          <w:sz w:val="32"/>
          <w:szCs w:val="32"/>
          <w:highlight w:val="none"/>
          <w:lang w:val="en-US" w:eastAsia="zh-CN"/>
        </w:rPr>
        <w:t>绩效报告载明的绩效目标：</w:t>
      </w:r>
    </w:p>
    <w:p>
      <w:pPr>
        <w:pStyle w:val="31"/>
        <w:spacing w:line="360" w:lineRule="auto"/>
        <w:ind w:firstLine="640"/>
        <w:rPr>
          <w:rFonts w:hint="default" w:ascii="仿宋_GB2312" w:hAnsi="宋体" w:cs="宋体"/>
          <w:b w:val="0"/>
          <w:bCs w:val="0"/>
          <w:sz w:val="32"/>
          <w:szCs w:val="32"/>
          <w:highlight w:val="none"/>
        </w:rPr>
      </w:pPr>
      <w:r>
        <w:rPr>
          <w:rFonts w:hint="default" w:ascii="仿宋_GB2312" w:hAnsi="宋体" w:cs="宋体"/>
          <w:b w:val="0"/>
          <w:bCs w:val="0"/>
          <w:sz w:val="32"/>
          <w:szCs w:val="32"/>
          <w:highlight w:val="none"/>
        </w:rPr>
        <w:t>1.预期总目标：预计在2020年10月31日之前将项目全部完成。</w:t>
      </w:r>
    </w:p>
    <w:p>
      <w:pPr>
        <w:pStyle w:val="31"/>
        <w:spacing w:line="360" w:lineRule="auto"/>
        <w:ind w:firstLine="640"/>
        <w:rPr>
          <w:rFonts w:hint="default" w:ascii="仿宋_GB2312" w:hAnsi="宋体" w:cs="宋体"/>
          <w:b w:val="0"/>
          <w:bCs w:val="0"/>
          <w:sz w:val="32"/>
          <w:szCs w:val="32"/>
          <w:highlight w:val="none"/>
        </w:rPr>
      </w:pPr>
      <w:r>
        <w:rPr>
          <w:rFonts w:hint="default" w:ascii="仿宋_GB2312" w:hAnsi="宋体" w:cs="宋体"/>
          <w:b w:val="0"/>
          <w:bCs w:val="0"/>
          <w:sz w:val="32"/>
          <w:szCs w:val="32"/>
          <w:highlight w:val="none"/>
        </w:rPr>
        <w:t>2.项目阶段性目标：2019年8月—11月做好前期摸排调研工作；2019年12月组织公开招投标工作；2020年1月—10月做好项目产品的安装及验收工作。</w:t>
      </w:r>
    </w:p>
    <w:bookmarkEnd w:id="0"/>
    <w:bookmarkEnd w:id="21"/>
    <w:p>
      <w:pPr>
        <w:pStyle w:val="2"/>
        <w:spacing w:line="360" w:lineRule="auto"/>
        <w:ind w:left="0" w:firstLine="643" w:firstLineChars="200"/>
      </w:pPr>
      <w:bookmarkStart w:id="22" w:name="_Toc426226415"/>
      <w:bookmarkStart w:id="23" w:name="_Toc426246477"/>
      <w:bookmarkStart w:id="24" w:name="_Toc4574"/>
      <w:bookmarkStart w:id="25" w:name="_Toc169183188"/>
      <w:bookmarkStart w:id="26" w:name="_Toc365968754"/>
      <w:r>
        <w:rPr>
          <w:rFonts w:hint="eastAsia"/>
        </w:rPr>
        <w:t>二、</w:t>
      </w:r>
      <w:bookmarkEnd w:id="22"/>
      <w:bookmarkEnd w:id="23"/>
      <w:r>
        <w:rPr>
          <w:rFonts w:hint="eastAsia"/>
        </w:rPr>
        <w:t>绩效评价工作开展情况</w:t>
      </w:r>
      <w:bookmarkEnd w:id="24"/>
      <w:r>
        <w:rPr>
          <w:rFonts w:hint="eastAsia"/>
        </w:rPr>
        <w:tab/>
      </w:r>
    </w:p>
    <w:p>
      <w:pPr>
        <w:pStyle w:val="3"/>
        <w:spacing w:line="360" w:lineRule="auto"/>
        <w:ind w:firstLine="643"/>
        <w:rPr>
          <w:rFonts w:ascii="仿宋_GB2312" w:hAnsi="Times New Roman"/>
          <w:b/>
        </w:rPr>
      </w:pPr>
      <w:bookmarkStart w:id="27" w:name="_Toc426226416"/>
      <w:bookmarkStart w:id="28" w:name="_Toc375717373"/>
      <w:bookmarkStart w:id="29" w:name="_Toc392997348"/>
      <w:bookmarkStart w:id="30" w:name="_Toc395951382"/>
      <w:bookmarkStart w:id="31" w:name="_Toc426246478"/>
      <w:bookmarkStart w:id="32" w:name="_Toc1496"/>
      <w:r>
        <w:rPr>
          <w:rFonts w:hint="eastAsia" w:ascii="仿宋_GB2312" w:hAnsi="Times New Roman"/>
          <w:b/>
        </w:rPr>
        <w:t>（一）</w:t>
      </w:r>
      <w:bookmarkEnd w:id="27"/>
      <w:bookmarkEnd w:id="28"/>
      <w:bookmarkEnd w:id="29"/>
      <w:bookmarkEnd w:id="30"/>
      <w:bookmarkEnd w:id="31"/>
      <w:r>
        <w:rPr>
          <w:rFonts w:hint="eastAsia" w:ascii="仿宋_GB2312" w:hAnsi="Times New Roman"/>
          <w:b/>
        </w:rPr>
        <w:t>绩效评价目标</w:t>
      </w:r>
      <w:bookmarkEnd w:id="32"/>
    </w:p>
    <w:p>
      <w:pPr>
        <w:adjustRightInd w:val="0"/>
        <w:spacing w:line="360" w:lineRule="auto"/>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1.绩效评价目标</w:t>
      </w:r>
    </w:p>
    <w:p>
      <w:pPr>
        <w:adjustRightInd w:val="0"/>
        <w:spacing w:line="360" w:lineRule="auto"/>
        <w:ind w:firstLine="640" w:firstLineChars="200"/>
        <w:rPr>
          <w:rFonts w:ascii="仿宋_GB2312" w:eastAsia="仿宋_GB2312"/>
          <w:sz w:val="32"/>
          <w:szCs w:val="32"/>
        </w:rPr>
      </w:pPr>
      <w:r>
        <w:rPr>
          <w:rFonts w:hint="eastAsia" w:ascii="仿宋_GB2312" w:hAnsi="仿宋" w:eastAsia="仿宋_GB2312" w:cs="仿宋"/>
          <w:sz w:val="32"/>
          <w:szCs w:val="32"/>
        </w:rPr>
        <w:t>通过绩效评价，衡量和考核县教育体育局的产出，对项目</w:t>
      </w:r>
      <w:r>
        <w:rPr>
          <w:rFonts w:hint="eastAsia" w:ascii="仿宋_GB2312" w:hAnsi="仿宋" w:eastAsia="仿宋_GB2312" w:cs="仿宋"/>
          <w:sz w:val="32"/>
          <w:szCs w:val="32"/>
          <w:lang w:val="en-US" w:eastAsia="zh-CN"/>
        </w:rPr>
        <w:t>决策</w:t>
      </w:r>
      <w:r>
        <w:rPr>
          <w:rFonts w:hint="eastAsia" w:ascii="仿宋_GB2312" w:hAnsi="仿宋" w:eastAsia="仿宋_GB2312" w:cs="仿宋"/>
          <w:sz w:val="32"/>
          <w:szCs w:val="32"/>
        </w:rPr>
        <w:t>、项目</w:t>
      </w:r>
      <w:r>
        <w:rPr>
          <w:rFonts w:hint="eastAsia" w:ascii="仿宋_GB2312" w:hAnsi="仿宋" w:eastAsia="仿宋_GB2312" w:cs="仿宋"/>
          <w:sz w:val="32"/>
          <w:szCs w:val="32"/>
          <w:lang w:val="en-US" w:eastAsia="zh-CN"/>
        </w:rPr>
        <w:t>管理</w:t>
      </w:r>
      <w:r>
        <w:rPr>
          <w:rFonts w:hint="eastAsia" w:ascii="仿宋_GB2312" w:hAnsi="仿宋" w:eastAsia="仿宋_GB2312" w:cs="仿宋"/>
          <w:sz w:val="32"/>
          <w:szCs w:val="32"/>
        </w:rPr>
        <w:t>、项目</w:t>
      </w:r>
      <w:r>
        <w:rPr>
          <w:rFonts w:hint="eastAsia" w:ascii="仿宋_GB2312" w:hAnsi="仿宋" w:eastAsia="仿宋_GB2312" w:cs="仿宋"/>
          <w:sz w:val="32"/>
          <w:szCs w:val="32"/>
          <w:lang w:val="en-US" w:eastAsia="zh-CN"/>
        </w:rPr>
        <w:t>绩效三</w:t>
      </w:r>
      <w:r>
        <w:rPr>
          <w:rFonts w:hint="eastAsia" w:ascii="仿宋_GB2312" w:hAnsi="仿宋" w:eastAsia="仿宋_GB2312" w:cs="仿宋"/>
          <w:sz w:val="32"/>
          <w:szCs w:val="32"/>
        </w:rPr>
        <w:t>方面进行评价，</w:t>
      </w:r>
      <w:r>
        <w:rPr>
          <w:rFonts w:hint="eastAsia" w:ascii="仿宋_GB2312" w:eastAsia="仿宋_GB2312" w:cs="仿宋_GB2312"/>
          <w:sz w:val="32"/>
          <w:szCs w:val="32"/>
        </w:rPr>
        <w:t>了解、分析、检验资金使用是否达到预期目标，资金管理是否规范，资金使用是否有效。通过总结经验，分析问题，采取切实措施进一步改进和加强财政支出项目管理，提高财政资金使用效益。</w:t>
      </w:r>
    </w:p>
    <w:p>
      <w:pPr>
        <w:adjustRightInd w:val="0"/>
        <w:spacing w:line="360" w:lineRule="auto"/>
        <w:ind w:firstLine="640" w:firstLineChars="200"/>
        <w:rPr>
          <w:rFonts w:ascii="仿宋_GB2312" w:eastAsia="仿宋_GB2312"/>
          <w:sz w:val="32"/>
          <w:szCs w:val="32"/>
        </w:rPr>
      </w:pPr>
      <w:r>
        <w:rPr>
          <w:rFonts w:hint="eastAsia" w:ascii="仿宋_GB2312" w:eastAsia="仿宋_GB2312" w:cs="仿宋_GB2312"/>
          <w:sz w:val="32"/>
          <w:szCs w:val="32"/>
        </w:rPr>
        <w:t>2.评价原则和方法</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本次评价工作遵循</w:t>
      </w:r>
      <w:r>
        <w:rPr>
          <w:rFonts w:hint="eastAsia" w:ascii="仿宋_GB2312" w:eastAsia="仿宋_GB2312"/>
          <w:sz w:val="32"/>
          <w:szCs w:val="32"/>
        </w:rPr>
        <w:t>“</w:t>
      </w:r>
      <w:r>
        <w:rPr>
          <w:rFonts w:hint="eastAsia" w:ascii="仿宋_GB2312" w:eastAsia="仿宋_GB2312" w:cs="仿宋_GB2312"/>
          <w:sz w:val="32"/>
          <w:szCs w:val="32"/>
        </w:rPr>
        <w:t>客观、公正、科学、规范</w:t>
      </w:r>
      <w:r>
        <w:rPr>
          <w:rFonts w:hint="eastAsia" w:ascii="仿宋_GB2312" w:eastAsia="仿宋_GB2312"/>
          <w:sz w:val="32"/>
          <w:szCs w:val="32"/>
        </w:rPr>
        <w:t>”</w:t>
      </w:r>
      <w:r>
        <w:rPr>
          <w:rFonts w:hint="eastAsia" w:ascii="仿宋_GB2312" w:eastAsia="仿宋_GB2312" w:cs="仿宋_GB2312"/>
          <w:sz w:val="32"/>
          <w:szCs w:val="32"/>
        </w:rPr>
        <w:t>的原则，通过对项目的经济性、效率性、效益性的比较和分析，考核支出效率和支出效果。结合本项目特点，在评价过程中主要采用非现场评价方式进行考评，评价方法主要采用比较法，即预定目标与实施效果进行分析比较的方法，进行定性分析和定量分析。</w:t>
      </w:r>
    </w:p>
    <w:p>
      <w:pPr>
        <w:pStyle w:val="3"/>
        <w:spacing w:line="360" w:lineRule="auto"/>
        <w:ind w:firstLine="643"/>
        <w:rPr>
          <w:rFonts w:ascii="仿宋_GB2312" w:hAnsi="Times New Roman" w:cs="仿宋_GB2312"/>
          <w:b/>
        </w:rPr>
      </w:pPr>
      <w:bookmarkStart w:id="33" w:name="_Toc25611"/>
      <w:bookmarkStart w:id="34" w:name="_Toc395951383"/>
      <w:bookmarkStart w:id="35" w:name="_Toc426246479"/>
      <w:bookmarkStart w:id="36" w:name="_Toc392997349"/>
      <w:bookmarkStart w:id="37" w:name="_Toc426226417"/>
      <w:bookmarkStart w:id="38" w:name="_Toc375717374"/>
      <w:r>
        <w:rPr>
          <w:rFonts w:hint="eastAsia" w:ascii="仿宋_GB2312" w:hAnsi="Times New Roman" w:cs="仿宋_GB2312"/>
          <w:b/>
        </w:rPr>
        <w:t>（二）绩效评价设计过程</w:t>
      </w:r>
      <w:bookmarkEnd w:id="33"/>
    </w:p>
    <w:p>
      <w:pPr>
        <w:spacing w:line="360" w:lineRule="auto"/>
        <w:ind w:firstLine="640" w:firstLineChars="200"/>
        <w:rPr>
          <w:rFonts w:ascii="仿宋_GB2312" w:hAnsi="Arial" w:eastAsia="仿宋_GB2312" w:cs="仿宋_GB2312"/>
          <w:sz w:val="32"/>
          <w:szCs w:val="32"/>
        </w:rPr>
      </w:pPr>
      <w:r>
        <w:rPr>
          <w:rFonts w:hint="eastAsia" w:ascii="仿宋_GB2312" w:hAnsi="Arial" w:eastAsia="仿宋_GB2312" w:cs="仿宋_GB2312"/>
          <w:sz w:val="32"/>
          <w:szCs w:val="32"/>
        </w:rPr>
        <w:t>通过与</w:t>
      </w:r>
      <w:r>
        <w:rPr>
          <w:rFonts w:hint="eastAsia" w:ascii="仿宋_GB2312" w:hAnsi="Arial" w:eastAsia="仿宋_GB2312" w:cs="仿宋_GB2312"/>
          <w:sz w:val="32"/>
          <w:szCs w:val="32"/>
          <w:lang w:eastAsia="zh-CN"/>
        </w:rPr>
        <w:t>县教育体育局</w:t>
      </w:r>
      <w:r>
        <w:rPr>
          <w:rFonts w:hint="eastAsia" w:ascii="仿宋_GB2312" w:hAnsi="Arial" w:eastAsia="仿宋_GB2312" w:cs="仿宋_GB2312"/>
          <w:sz w:val="32"/>
          <w:szCs w:val="32"/>
        </w:rPr>
        <w:t>沟通，了解项目基本情况，确定绩效评价进场时间，</w:t>
      </w:r>
      <w:r>
        <w:rPr>
          <w:rFonts w:hint="eastAsia" w:ascii="仿宋_GB2312" w:hAnsi="仿宋" w:eastAsia="仿宋_GB2312" w:cs="仿宋"/>
          <w:sz w:val="32"/>
          <w:szCs w:val="32"/>
        </w:rPr>
        <w:t>为</w:t>
      </w:r>
      <w:r>
        <w:rPr>
          <w:rFonts w:hint="eastAsia" w:ascii="仿宋_GB2312" w:hAnsi="仿宋" w:eastAsia="仿宋_GB2312" w:cs="仿宋"/>
          <w:sz w:val="32"/>
          <w:szCs w:val="32"/>
          <w:lang w:eastAsia="zh-CN"/>
        </w:rPr>
        <w:t>县教育体育局</w:t>
      </w:r>
      <w:r>
        <w:rPr>
          <w:rFonts w:hint="eastAsia" w:ascii="仿宋_GB2312" w:hAnsi="仿宋" w:eastAsia="仿宋_GB2312" w:cs="仿宋"/>
          <w:sz w:val="32"/>
          <w:szCs w:val="32"/>
        </w:rPr>
        <w:t>提供绩效评价资料清单，首次提供资料后，根据项目具体情况，确认补充资料清单。通过搜集的项目资料对项目的绩效目标展开评价并出具报告，与</w:t>
      </w:r>
      <w:r>
        <w:rPr>
          <w:rFonts w:hint="eastAsia" w:ascii="仿宋_GB2312" w:hAnsi="仿宋" w:eastAsia="仿宋_GB2312" w:cs="仿宋"/>
          <w:sz w:val="32"/>
          <w:szCs w:val="32"/>
          <w:lang w:eastAsia="zh-CN"/>
        </w:rPr>
        <w:t>县教育体育局</w:t>
      </w:r>
      <w:r>
        <w:rPr>
          <w:rFonts w:hint="eastAsia" w:ascii="仿宋_GB2312" w:hAnsi="仿宋" w:eastAsia="仿宋_GB2312" w:cs="仿宋"/>
          <w:sz w:val="32"/>
          <w:szCs w:val="32"/>
        </w:rPr>
        <w:t>及财政再次沟通，最终定稿绩效评价报告。</w:t>
      </w:r>
    </w:p>
    <w:p>
      <w:pPr>
        <w:pStyle w:val="3"/>
        <w:spacing w:line="360" w:lineRule="auto"/>
        <w:ind w:firstLine="643"/>
        <w:rPr>
          <w:rFonts w:ascii="仿宋_GB2312" w:hAnsi="Times New Roman" w:cs="仿宋_GB2312"/>
          <w:b/>
        </w:rPr>
      </w:pPr>
      <w:bookmarkStart w:id="39" w:name="_Toc25021"/>
      <w:r>
        <w:rPr>
          <w:rFonts w:hint="eastAsia" w:ascii="仿宋_GB2312" w:hAnsi="Times New Roman" w:cs="仿宋_GB2312"/>
          <w:b/>
        </w:rPr>
        <w:t>（三）绩效评价框架</w:t>
      </w:r>
      <w:bookmarkEnd w:id="39"/>
    </w:p>
    <w:p>
      <w:pPr>
        <w:spacing w:line="360" w:lineRule="auto"/>
        <w:ind w:firstLine="640" w:firstLineChars="200"/>
        <w:rPr>
          <w:rFonts w:ascii="仿宋_GB2312" w:hAnsi="Arial" w:eastAsia="仿宋_GB2312" w:cs="仿宋_GB2312"/>
          <w:sz w:val="32"/>
          <w:szCs w:val="32"/>
        </w:rPr>
      </w:pPr>
      <w:r>
        <w:rPr>
          <w:rFonts w:hint="eastAsia" w:ascii="仿宋_GB2312" w:hAnsi="Arial" w:eastAsia="仿宋_GB2312" w:cs="仿宋_GB2312"/>
          <w:sz w:val="32"/>
          <w:szCs w:val="32"/>
        </w:rPr>
        <w:t>根据《项目支出绩效评价共性指标框架（参考）》，绩效评价工作组结合县教育体育局实施的“中小学安防建设项目</w:t>
      </w:r>
      <w:r>
        <w:rPr>
          <w:rFonts w:hint="eastAsia" w:ascii="仿宋_GB2312" w:hAnsi="Arial" w:eastAsia="仿宋_GB2312" w:cs="仿宋_GB2312"/>
          <w:sz w:val="32"/>
          <w:szCs w:val="32"/>
          <w:lang w:val="en-US" w:eastAsia="zh-CN"/>
        </w:rPr>
        <w:t>资金</w:t>
      </w:r>
      <w:r>
        <w:rPr>
          <w:rFonts w:hint="eastAsia" w:ascii="仿宋_GB2312" w:hAnsi="Arial" w:eastAsia="仿宋_GB2312" w:cs="仿宋_GB2312"/>
          <w:sz w:val="32"/>
          <w:szCs w:val="32"/>
        </w:rPr>
        <w:t>”项目的特点及资金使用的具体情况，经过绩效评价工作组讨论，以资金使用结果为导向，设定了本次评价指标体系的内容和权重，重点对项目目标及完成情况、效益实现情况进行综合评价。具体详见附件“指标体系及打分情况表”。</w:t>
      </w:r>
    </w:p>
    <w:p>
      <w:pPr>
        <w:pStyle w:val="3"/>
        <w:spacing w:line="360" w:lineRule="auto"/>
        <w:ind w:left="420" w:leftChars="200" w:firstLine="0" w:firstLineChars="0"/>
        <w:rPr>
          <w:rFonts w:ascii="仿宋_GB2312" w:hAnsi="Times New Roman" w:cs="仿宋_GB2312"/>
          <w:b/>
        </w:rPr>
      </w:pPr>
      <w:bookmarkStart w:id="40" w:name="_Toc3000"/>
      <w:r>
        <w:rPr>
          <w:rFonts w:hint="eastAsia" w:ascii="仿宋_GB2312" w:hAnsi="Times New Roman" w:cs="仿宋_GB2312"/>
          <w:b/>
        </w:rPr>
        <w:t>（四）证据收集方法</w:t>
      </w:r>
      <w:bookmarkEnd w:id="40"/>
    </w:p>
    <w:p>
      <w:pPr>
        <w:spacing w:line="360" w:lineRule="auto"/>
        <w:ind w:firstLine="640" w:firstLineChars="200"/>
        <w:rPr>
          <w:rFonts w:ascii="仿宋_GB2312" w:hAnsi="Times New Roman" w:eastAsia="仿宋_GB2312" w:cs="仿宋_GB2312"/>
          <w:b/>
        </w:rPr>
      </w:pPr>
      <w:r>
        <w:rPr>
          <w:rFonts w:hint="eastAsia" w:ascii="仿宋_GB2312" w:hAnsi="仿宋" w:eastAsia="仿宋_GB2312" w:cs="仿宋"/>
          <w:sz w:val="32"/>
          <w:szCs w:val="32"/>
        </w:rPr>
        <w:t>本次绩效考核证据收集方法：主要为现场收集，形式采用纸质盖章资料与电子资料相结合。</w:t>
      </w:r>
    </w:p>
    <w:p>
      <w:pPr>
        <w:pStyle w:val="3"/>
        <w:spacing w:line="360" w:lineRule="auto"/>
        <w:ind w:left="420" w:leftChars="200" w:firstLine="0" w:firstLineChars="0"/>
        <w:rPr>
          <w:rFonts w:ascii="仿宋_GB2312" w:hAnsi="Times New Roman"/>
          <w:b/>
          <w:bCs/>
        </w:rPr>
      </w:pPr>
      <w:bookmarkStart w:id="41" w:name="_Toc8387"/>
      <w:r>
        <w:rPr>
          <w:rFonts w:hint="eastAsia" w:ascii="仿宋_GB2312" w:hAnsi="Times New Roman" w:cs="仿宋_GB2312"/>
          <w:b/>
        </w:rPr>
        <w:t>（五）绩效评价实施</w:t>
      </w:r>
      <w:bookmarkEnd w:id="34"/>
      <w:bookmarkEnd w:id="35"/>
      <w:bookmarkEnd w:id="36"/>
      <w:bookmarkEnd w:id="37"/>
      <w:bookmarkEnd w:id="38"/>
      <w:r>
        <w:rPr>
          <w:rFonts w:hint="eastAsia" w:ascii="仿宋_GB2312" w:hAnsi="Times New Roman" w:cs="仿宋_GB2312"/>
          <w:b/>
        </w:rPr>
        <w:t>过程</w:t>
      </w:r>
      <w:bookmarkEnd w:id="41"/>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绩效评价工作程序主要分为准备评价、实施评价、评价报告撰写三个阶段。</w:t>
      </w:r>
    </w:p>
    <w:p>
      <w:pPr>
        <w:spacing w:line="360" w:lineRule="auto"/>
        <w:ind w:firstLine="672" w:firstLineChars="210"/>
        <w:rPr>
          <w:rFonts w:ascii="仿宋_GB2312" w:hAnsi="Arial" w:eastAsia="仿宋_GB2312"/>
          <w:sz w:val="32"/>
          <w:szCs w:val="32"/>
        </w:rPr>
      </w:pPr>
      <w:r>
        <w:rPr>
          <w:rFonts w:hint="eastAsia" w:ascii="仿宋_GB2312" w:hAnsi="Arial" w:eastAsia="仿宋_GB2312" w:cs="仿宋_GB2312"/>
          <w:sz w:val="32"/>
          <w:szCs w:val="32"/>
        </w:rPr>
        <w:t>1.准备评价阶段</w:t>
      </w:r>
    </w:p>
    <w:p>
      <w:pPr>
        <w:spacing w:line="360" w:lineRule="auto"/>
        <w:ind w:firstLine="672" w:firstLineChars="210"/>
        <w:rPr>
          <w:rFonts w:hint="eastAsia" w:ascii="仿宋_GB2312" w:hAnsi="Arial" w:eastAsia="仿宋_GB2312" w:cs="仿宋_GB2312"/>
          <w:sz w:val="32"/>
          <w:szCs w:val="32"/>
        </w:rPr>
      </w:pPr>
      <w:bookmarkStart w:id="42" w:name="_Toc426246480"/>
      <w:bookmarkStart w:id="43" w:name="_Toc426226418"/>
      <w:bookmarkStart w:id="44" w:name="_Toc8268"/>
      <w:r>
        <w:rPr>
          <w:rFonts w:hint="eastAsia" w:ascii="仿宋_GB2312" w:hAnsi="Arial" w:eastAsia="仿宋_GB2312" w:cs="仿宋_GB2312"/>
          <w:sz w:val="32"/>
          <w:szCs w:val="32"/>
        </w:rPr>
        <w:t>组建绩效评价工作组，做好培训工作。根据</w:t>
      </w:r>
      <w:r>
        <w:rPr>
          <w:rFonts w:hint="eastAsia" w:ascii="仿宋_GB2312" w:eastAsia="仿宋_GB2312"/>
          <w:sz w:val="32"/>
          <w:szCs w:val="32"/>
        </w:rPr>
        <w:t>开展重点项目绩效评价的工作要求</w:t>
      </w:r>
      <w:r>
        <w:rPr>
          <w:rFonts w:hint="eastAsia" w:ascii="仿宋_GB2312" w:hAnsi="Arial" w:eastAsia="仿宋_GB2312" w:cs="仿宋_GB2312"/>
          <w:sz w:val="32"/>
          <w:szCs w:val="32"/>
        </w:rPr>
        <w:t>，县财政局委托中逸会计师事务所有限公司开展本项目绩效评价工作，20</w:t>
      </w:r>
      <w:r>
        <w:rPr>
          <w:rFonts w:hint="eastAsia" w:ascii="仿宋_GB2312" w:hAnsi="Arial" w:eastAsia="仿宋_GB2312" w:cs="仿宋_GB2312"/>
          <w:sz w:val="32"/>
          <w:szCs w:val="32"/>
          <w:lang w:val="en-US" w:eastAsia="zh-CN"/>
        </w:rPr>
        <w:t>20</w:t>
      </w:r>
      <w:r>
        <w:rPr>
          <w:rFonts w:hint="eastAsia" w:ascii="仿宋_GB2312" w:hAnsi="Arial" w:eastAsia="仿宋_GB2312" w:cs="仿宋_GB2312"/>
          <w:sz w:val="32"/>
          <w:szCs w:val="32"/>
        </w:rPr>
        <w:t>年</w:t>
      </w:r>
      <w:r>
        <w:rPr>
          <w:rFonts w:hint="eastAsia" w:ascii="仿宋_GB2312" w:hAnsi="Arial" w:eastAsia="仿宋_GB2312" w:cs="仿宋_GB2312"/>
          <w:sz w:val="32"/>
          <w:szCs w:val="32"/>
          <w:lang w:val="en-US" w:eastAsia="zh-CN"/>
        </w:rPr>
        <w:t>11</w:t>
      </w:r>
      <w:r>
        <w:rPr>
          <w:rFonts w:hint="eastAsia" w:ascii="仿宋_GB2312" w:hAnsi="Arial" w:eastAsia="仿宋_GB2312" w:cs="仿宋_GB2312"/>
          <w:sz w:val="32"/>
          <w:szCs w:val="32"/>
        </w:rPr>
        <w:t>月成立了项目绩效评价工作组，对该项目进行绩效评价。正式评价前对项目绩效评价工作人员进行了业务培训，明确了绩效评价工作要求，确保绩效评价工作有序开展。</w:t>
      </w:r>
    </w:p>
    <w:p>
      <w:pPr>
        <w:spacing w:line="360" w:lineRule="auto"/>
        <w:ind w:firstLine="672" w:firstLineChars="210"/>
        <w:rPr>
          <w:rFonts w:hint="eastAsia" w:ascii="仿宋_GB2312" w:hAnsi="Arial" w:eastAsia="仿宋_GB2312" w:cs="仿宋_GB2312"/>
          <w:sz w:val="32"/>
          <w:szCs w:val="32"/>
        </w:rPr>
      </w:pPr>
      <w:r>
        <w:rPr>
          <w:rFonts w:hint="eastAsia" w:ascii="仿宋_GB2312" w:hAnsi="Arial" w:eastAsia="仿宋_GB2312" w:cs="仿宋_GB2312"/>
          <w:sz w:val="32"/>
          <w:szCs w:val="32"/>
        </w:rPr>
        <w:t>2.实施评价阶段</w:t>
      </w:r>
    </w:p>
    <w:p>
      <w:pPr>
        <w:spacing w:line="360" w:lineRule="auto"/>
        <w:ind w:firstLine="640" w:firstLineChars="200"/>
        <w:rPr>
          <w:rFonts w:hint="eastAsia" w:ascii="仿宋_GB2312" w:hAnsi="Arial" w:eastAsia="仿宋_GB2312" w:cs="仿宋_GB2312"/>
          <w:sz w:val="32"/>
          <w:szCs w:val="32"/>
        </w:rPr>
      </w:pPr>
      <w:r>
        <w:rPr>
          <w:rFonts w:hint="eastAsia" w:ascii="仿宋_GB2312" w:hAnsi="Arial" w:eastAsia="仿宋_GB2312" w:cs="仿宋_GB2312"/>
          <w:sz w:val="32"/>
          <w:szCs w:val="32"/>
        </w:rPr>
        <w:t>（</w:t>
      </w:r>
      <w:r>
        <w:rPr>
          <w:rFonts w:hint="eastAsia" w:ascii="仿宋_GB2312" w:hAnsi="Arial" w:eastAsia="仿宋_GB2312" w:cs="仿宋_GB2312"/>
          <w:sz w:val="32"/>
          <w:szCs w:val="32"/>
          <w:lang w:val="en-US" w:eastAsia="zh-CN"/>
        </w:rPr>
        <w:t>1</w:t>
      </w:r>
      <w:r>
        <w:rPr>
          <w:rFonts w:hint="eastAsia" w:ascii="仿宋_GB2312" w:hAnsi="Arial" w:eastAsia="仿宋_GB2312" w:cs="仿宋_GB2312"/>
          <w:sz w:val="32"/>
          <w:szCs w:val="32"/>
        </w:rPr>
        <w:t>）入户收集业务资料。</w:t>
      </w:r>
      <w:r>
        <w:rPr>
          <w:rFonts w:hint="eastAsia" w:ascii="仿宋_GB2312" w:hAnsi="Arial Narrow" w:eastAsia="仿宋_GB2312"/>
          <w:sz w:val="32"/>
          <w:szCs w:val="32"/>
        </w:rPr>
        <w:t>绩效评价工作组于2</w:t>
      </w:r>
      <w:r>
        <w:rPr>
          <w:rFonts w:hint="eastAsia" w:ascii="仿宋_GB2312" w:hAnsi="Arial Narrow" w:eastAsia="仿宋_GB2312"/>
          <w:sz w:val="32"/>
          <w:szCs w:val="32"/>
          <w:lang w:val="en-US" w:eastAsia="zh-CN"/>
        </w:rPr>
        <w:t>020</w:t>
      </w:r>
      <w:r>
        <w:rPr>
          <w:rFonts w:hint="eastAsia" w:ascii="仿宋_GB2312" w:hAnsi="Arial Narrow" w:eastAsia="仿宋_GB2312"/>
          <w:sz w:val="32"/>
          <w:szCs w:val="32"/>
        </w:rPr>
        <w:t>年</w:t>
      </w:r>
      <w:r>
        <w:rPr>
          <w:rFonts w:hint="eastAsia" w:ascii="仿宋_GB2312" w:hAnsi="Arial Narrow" w:eastAsia="仿宋_GB2312"/>
          <w:sz w:val="32"/>
          <w:szCs w:val="32"/>
          <w:lang w:val="en-US" w:eastAsia="zh-CN"/>
        </w:rPr>
        <w:t>11</w:t>
      </w:r>
      <w:r>
        <w:rPr>
          <w:rFonts w:hint="eastAsia" w:ascii="仿宋_GB2312" w:hAnsi="Arial Narrow" w:eastAsia="仿宋_GB2312"/>
          <w:sz w:val="32"/>
          <w:szCs w:val="32"/>
        </w:rPr>
        <w:t>月</w:t>
      </w:r>
      <w:r>
        <w:rPr>
          <w:rFonts w:hint="eastAsia" w:ascii="仿宋_GB2312" w:hAnsi="Arial Narrow" w:eastAsia="仿宋_GB2312"/>
          <w:sz w:val="32"/>
          <w:szCs w:val="32"/>
          <w:lang w:val="en-US" w:eastAsia="zh-CN"/>
        </w:rPr>
        <w:t>11</w:t>
      </w:r>
      <w:r>
        <w:rPr>
          <w:rFonts w:hint="eastAsia" w:ascii="仿宋_GB2312" w:hAnsi="Arial Narrow" w:eastAsia="仿宋_GB2312"/>
          <w:sz w:val="32"/>
          <w:szCs w:val="32"/>
        </w:rPr>
        <w:t>日入户调研，</w:t>
      </w:r>
      <w:r>
        <w:rPr>
          <w:rFonts w:hint="eastAsia" w:ascii="仿宋_GB2312" w:hAnsi="Arial" w:eastAsia="仿宋_GB2312" w:cs="仿宋_GB2312"/>
          <w:sz w:val="32"/>
          <w:szCs w:val="32"/>
        </w:rPr>
        <w:t>与项目单位进行沟通，了解项目申报及执行情况，取得业务资料。</w:t>
      </w:r>
    </w:p>
    <w:p>
      <w:pPr>
        <w:spacing w:line="360" w:lineRule="auto"/>
        <w:ind w:firstLine="640" w:firstLineChars="200"/>
        <w:rPr>
          <w:rFonts w:hint="eastAsia" w:ascii="仿宋_GB2312" w:hAnsi="Arial" w:eastAsia="仿宋_GB2312" w:cs="仿宋_GB2312"/>
          <w:sz w:val="32"/>
          <w:szCs w:val="32"/>
        </w:rPr>
      </w:pPr>
      <w:r>
        <w:rPr>
          <w:rFonts w:hint="eastAsia" w:ascii="仿宋_GB2312" w:hAnsi="Arial" w:eastAsia="仿宋_GB2312" w:cs="仿宋_GB2312"/>
          <w:sz w:val="32"/>
          <w:szCs w:val="32"/>
        </w:rPr>
        <w:t>（2）遴选专家，组建专家工作组。绩效评价工作组根据项目的特点，依据客观、公正的原则，遴选2名管理专家、2名业务专家及1名财务专家组成专家工作组。</w:t>
      </w:r>
    </w:p>
    <w:p>
      <w:pPr>
        <w:spacing w:line="360" w:lineRule="auto"/>
        <w:ind w:firstLine="640" w:firstLineChars="200"/>
        <w:rPr>
          <w:rFonts w:hint="eastAsia" w:ascii="仿宋_GB2312" w:hAnsi="Arial Narrow" w:eastAsia="仿宋_GB2312"/>
          <w:sz w:val="32"/>
          <w:szCs w:val="32"/>
          <w:highlight w:val="none"/>
        </w:rPr>
      </w:pPr>
      <w:r>
        <w:rPr>
          <w:rFonts w:hint="eastAsia" w:ascii="仿宋_GB2312" w:hAnsi="Arial" w:eastAsia="仿宋_GB2312" w:cs="仿宋_GB2312"/>
          <w:sz w:val="32"/>
          <w:szCs w:val="32"/>
          <w:highlight w:val="none"/>
        </w:rPr>
        <w:t>（</w:t>
      </w:r>
      <w:r>
        <w:rPr>
          <w:rFonts w:hint="eastAsia" w:ascii="仿宋_GB2312" w:hAnsi="Arial" w:eastAsia="仿宋_GB2312" w:cs="仿宋_GB2312"/>
          <w:sz w:val="32"/>
          <w:szCs w:val="32"/>
          <w:highlight w:val="none"/>
          <w:lang w:val="en-US" w:eastAsia="zh-CN"/>
        </w:rPr>
        <w:t>3</w:t>
      </w:r>
      <w:r>
        <w:rPr>
          <w:rFonts w:hint="eastAsia" w:ascii="仿宋_GB2312" w:hAnsi="Arial" w:eastAsia="仿宋_GB2312" w:cs="仿宋_GB2312"/>
          <w:sz w:val="32"/>
          <w:szCs w:val="32"/>
          <w:highlight w:val="none"/>
        </w:rPr>
        <w:t>）</w:t>
      </w:r>
      <w:r>
        <w:rPr>
          <w:rFonts w:hint="eastAsia" w:ascii="仿宋_GB2312" w:hAnsi="Arial Narrow" w:eastAsia="仿宋_GB2312"/>
          <w:sz w:val="32"/>
          <w:szCs w:val="32"/>
          <w:highlight w:val="none"/>
        </w:rPr>
        <w:t>资料分析汇总</w:t>
      </w:r>
    </w:p>
    <w:p>
      <w:pPr>
        <w:spacing w:line="360" w:lineRule="auto"/>
        <w:ind w:firstLine="640" w:firstLineChars="200"/>
        <w:rPr>
          <w:rFonts w:hint="eastAsia" w:ascii="仿宋_GB2312" w:hAnsi="Arial" w:eastAsia="仿宋_GB2312" w:cs="仿宋_GB2312"/>
          <w:sz w:val="32"/>
          <w:szCs w:val="32"/>
          <w:highlight w:val="none"/>
        </w:rPr>
      </w:pPr>
      <w:r>
        <w:rPr>
          <w:rFonts w:hint="eastAsia" w:ascii="仿宋_GB2312" w:hAnsi="Arial" w:eastAsia="仿宋_GB2312" w:cs="仿宋_GB2312"/>
          <w:sz w:val="32"/>
          <w:szCs w:val="32"/>
          <w:highlight w:val="none"/>
        </w:rPr>
        <w:t>①项目绩效报告复核。绩效评价工作组在规定时间内按要求对项目单位提交的项目绩效报告和相关材料的完整和真实性进行复核。复核内容主要包括：项目绩效报告中各项内容的完整性、真实性，各项数据的逻辑关系、勾稽关系的准确性。发现问题，及时反馈意见，要求项目单位进行补充、完善。对重要的和存在疑问的基础数据资料进行核实确认，确保评价数据的真实性。</w:t>
      </w:r>
    </w:p>
    <w:p>
      <w:pPr>
        <w:spacing w:line="360" w:lineRule="auto"/>
        <w:ind w:firstLine="640" w:firstLineChars="200"/>
        <w:rPr>
          <w:rFonts w:hint="eastAsia" w:ascii="仿宋_GB2312" w:hAnsi="Arial" w:eastAsia="仿宋_GB2312" w:cs="仿宋_GB2312"/>
          <w:sz w:val="32"/>
          <w:szCs w:val="32"/>
          <w:highlight w:val="none"/>
        </w:rPr>
      </w:pPr>
      <w:r>
        <w:rPr>
          <w:rFonts w:hint="eastAsia" w:ascii="仿宋_GB2312" w:hAnsi="Arial" w:eastAsia="仿宋_GB2312" w:cs="仿宋_GB2312"/>
          <w:sz w:val="32"/>
          <w:szCs w:val="32"/>
          <w:highlight w:val="none"/>
        </w:rPr>
        <w:t>②编制专家评价资料手册，提交专家组成员。根据具体评价要求和评价项目情况，绩效评价工作组按照指标体系内容对资料分类整理并装订成册，形成专家资料手册，并提交给专家组成员审阅资料。</w:t>
      </w:r>
    </w:p>
    <w:p>
      <w:pPr>
        <w:spacing w:line="360" w:lineRule="auto"/>
        <w:ind w:firstLine="640" w:firstLineChars="200"/>
        <w:rPr>
          <w:rFonts w:hint="eastAsia" w:ascii="仿宋_GB2312" w:hAnsi="Arial" w:eastAsia="仿宋_GB2312" w:cs="仿宋_GB2312"/>
          <w:sz w:val="32"/>
          <w:szCs w:val="32"/>
          <w:highlight w:val="none"/>
        </w:rPr>
      </w:pPr>
      <w:r>
        <w:rPr>
          <w:rFonts w:hint="eastAsia" w:ascii="仿宋_GB2312" w:hAnsi="Arial" w:eastAsia="仿宋_GB2312" w:cs="仿宋_GB2312"/>
          <w:sz w:val="32"/>
          <w:szCs w:val="32"/>
          <w:highlight w:val="none"/>
        </w:rPr>
        <w:t>（</w:t>
      </w:r>
      <w:r>
        <w:rPr>
          <w:rFonts w:hint="eastAsia" w:ascii="仿宋_GB2312" w:hAnsi="Arial" w:eastAsia="仿宋_GB2312" w:cs="仿宋_GB2312"/>
          <w:sz w:val="32"/>
          <w:szCs w:val="32"/>
          <w:highlight w:val="none"/>
          <w:lang w:val="en-US" w:eastAsia="zh-CN"/>
        </w:rPr>
        <w:t>4</w:t>
      </w:r>
      <w:r>
        <w:rPr>
          <w:rFonts w:hint="eastAsia" w:ascii="仿宋_GB2312" w:hAnsi="Arial" w:eastAsia="仿宋_GB2312" w:cs="仿宋_GB2312"/>
          <w:sz w:val="32"/>
          <w:szCs w:val="32"/>
          <w:highlight w:val="none"/>
        </w:rPr>
        <w:t>）召开专家预备会，完善指标体系。绩效评价工作组于2020年1</w:t>
      </w:r>
      <w:r>
        <w:rPr>
          <w:rFonts w:hint="eastAsia" w:ascii="仿宋_GB2312" w:hAnsi="Arial" w:eastAsia="仿宋_GB2312" w:cs="仿宋_GB2312"/>
          <w:sz w:val="32"/>
          <w:szCs w:val="32"/>
          <w:highlight w:val="none"/>
          <w:lang w:eastAsia="zh-CN"/>
        </w:rPr>
        <w:t>1</w:t>
      </w:r>
      <w:r>
        <w:rPr>
          <w:rFonts w:hint="eastAsia" w:ascii="仿宋_GB2312" w:hAnsi="Arial" w:eastAsia="仿宋_GB2312" w:cs="仿宋_GB2312"/>
          <w:sz w:val="32"/>
          <w:szCs w:val="32"/>
          <w:highlight w:val="none"/>
        </w:rPr>
        <w:t>月</w:t>
      </w:r>
      <w:r>
        <w:rPr>
          <w:rFonts w:hint="eastAsia" w:ascii="仿宋_GB2312" w:hAnsi="Arial" w:eastAsia="仿宋_GB2312" w:cs="仿宋_GB2312"/>
          <w:sz w:val="32"/>
          <w:szCs w:val="32"/>
          <w:highlight w:val="none"/>
          <w:lang w:val="en-US" w:eastAsia="zh-CN"/>
        </w:rPr>
        <w:t>19</w:t>
      </w:r>
      <w:r>
        <w:rPr>
          <w:rFonts w:hint="eastAsia" w:ascii="仿宋_GB2312" w:hAnsi="Arial" w:eastAsia="仿宋_GB2312" w:cs="仿宋_GB2312"/>
          <w:sz w:val="32"/>
          <w:szCs w:val="32"/>
          <w:highlight w:val="none"/>
        </w:rPr>
        <w:t>日组织召开了专家预备会，5位专家从各自专业角度，结合对项目的整体了解情况，明确对项目的关注重点，针对存在的问题形成初步的意见, 并细化评价指标体系。会后，根据预备会专家提出的疑似问题及补充资料意见，绩效评价工作组汇总后及时反馈给</w:t>
      </w:r>
      <w:r>
        <w:rPr>
          <w:rFonts w:hint="eastAsia" w:ascii="仿宋_GB2312" w:hAnsi="Arial" w:eastAsia="仿宋_GB2312" w:cs="仿宋_GB2312"/>
          <w:sz w:val="32"/>
          <w:szCs w:val="32"/>
          <w:highlight w:val="none"/>
          <w:lang w:val="en-US" w:eastAsia="zh-CN"/>
        </w:rPr>
        <w:t>县教育体育局</w:t>
      </w:r>
      <w:r>
        <w:rPr>
          <w:rFonts w:hint="eastAsia" w:ascii="仿宋_GB2312" w:hAnsi="Arial" w:eastAsia="仿宋_GB2312" w:cs="仿宋_GB2312"/>
          <w:sz w:val="32"/>
          <w:szCs w:val="32"/>
          <w:highlight w:val="none"/>
        </w:rPr>
        <w:t>。</w:t>
      </w:r>
    </w:p>
    <w:p>
      <w:pPr>
        <w:spacing w:line="360" w:lineRule="auto"/>
        <w:ind w:firstLine="640" w:firstLineChars="200"/>
        <w:rPr>
          <w:rFonts w:ascii="仿宋_GB2312" w:hAnsi="Arial" w:eastAsia="仿宋_GB2312"/>
          <w:sz w:val="32"/>
          <w:szCs w:val="32"/>
        </w:rPr>
      </w:pPr>
      <w:r>
        <w:rPr>
          <w:rFonts w:hint="eastAsia" w:ascii="仿宋_GB2312" w:hAnsi="Arial" w:eastAsia="仿宋_GB2312" w:cs="仿宋_GB2312"/>
          <w:sz w:val="32"/>
          <w:szCs w:val="32"/>
          <w:highlight w:val="none"/>
        </w:rPr>
        <w:t>（</w:t>
      </w:r>
      <w:r>
        <w:rPr>
          <w:rFonts w:hint="eastAsia" w:ascii="仿宋_GB2312" w:hAnsi="Arial" w:eastAsia="仿宋_GB2312" w:cs="仿宋_GB2312"/>
          <w:sz w:val="32"/>
          <w:szCs w:val="32"/>
          <w:highlight w:val="none"/>
          <w:lang w:val="en-US" w:eastAsia="zh-CN"/>
        </w:rPr>
        <w:t>5</w:t>
      </w:r>
      <w:r>
        <w:rPr>
          <w:rFonts w:hint="eastAsia" w:ascii="仿宋_GB2312" w:hAnsi="Arial" w:eastAsia="仿宋_GB2312" w:cs="仿宋_GB2312"/>
          <w:sz w:val="32"/>
          <w:szCs w:val="32"/>
          <w:highlight w:val="none"/>
        </w:rPr>
        <w:t>）召开专家评价会。2020年1</w:t>
      </w:r>
      <w:r>
        <w:rPr>
          <w:rFonts w:hint="eastAsia" w:ascii="仿宋_GB2312" w:hAnsi="Arial" w:eastAsia="仿宋_GB2312" w:cs="仿宋_GB2312"/>
          <w:sz w:val="32"/>
          <w:szCs w:val="32"/>
          <w:highlight w:val="none"/>
          <w:lang w:eastAsia="zh-CN"/>
        </w:rPr>
        <w:t>1</w:t>
      </w:r>
      <w:r>
        <w:rPr>
          <w:rFonts w:hint="eastAsia" w:ascii="仿宋_GB2312" w:hAnsi="Arial" w:eastAsia="仿宋_GB2312" w:cs="仿宋_GB2312"/>
          <w:sz w:val="32"/>
          <w:szCs w:val="32"/>
          <w:highlight w:val="none"/>
        </w:rPr>
        <w:t>月</w:t>
      </w:r>
      <w:r>
        <w:rPr>
          <w:rFonts w:hint="eastAsia" w:ascii="仿宋_GB2312" w:hAnsi="Arial" w:eastAsia="仿宋_GB2312" w:cs="仿宋_GB2312"/>
          <w:sz w:val="32"/>
          <w:szCs w:val="32"/>
          <w:highlight w:val="none"/>
          <w:lang w:eastAsia="zh-CN"/>
        </w:rPr>
        <w:t>2</w:t>
      </w:r>
      <w:r>
        <w:rPr>
          <w:rFonts w:hint="eastAsia" w:ascii="仿宋_GB2312" w:hAnsi="Arial" w:eastAsia="仿宋_GB2312" w:cs="仿宋_GB2312"/>
          <w:sz w:val="32"/>
          <w:szCs w:val="32"/>
          <w:highlight w:val="none"/>
          <w:lang w:val="en-US" w:eastAsia="zh-CN"/>
        </w:rPr>
        <w:t>4</w:t>
      </w:r>
      <w:r>
        <w:rPr>
          <w:rFonts w:hint="eastAsia" w:ascii="仿宋_GB2312" w:hAnsi="Arial" w:eastAsia="仿宋_GB2312" w:cs="仿宋_GB2312"/>
          <w:sz w:val="32"/>
          <w:szCs w:val="32"/>
          <w:highlight w:val="none"/>
        </w:rPr>
        <w:t>日，绩效评价工作组组织召开了专家评价会，评价会上，专家组认真听取</w:t>
      </w:r>
      <w:r>
        <w:rPr>
          <w:rFonts w:hint="eastAsia" w:ascii="仿宋_GB2312" w:hAnsi="Times New Roman" w:eastAsia="仿宋_GB2312"/>
          <w:spacing w:val="-6"/>
          <w:sz w:val="32"/>
          <w:szCs w:val="32"/>
          <w:lang w:val="en-US" w:eastAsia="zh-CN"/>
        </w:rPr>
        <w:t>县教育体育局</w:t>
      </w:r>
      <w:r>
        <w:rPr>
          <w:rFonts w:hint="eastAsia" w:ascii="仿宋_GB2312" w:hAnsi="Arial" w:eastAsia="仿宋_GB2312" w:cs="仿宋_GB2312"/>
          <w:sz w:val="32"/>
          <w:szCs w:val="32"/>
          <w:highlight w:val="none"/>
        </w:rPr>
        <w:t>对项目实施情况的介绍，对一些问题或疑似问题进行</w:t>
      </w:r>
      <w:r>
        <w:rPr>
          <w:rFonts w:hint="eastAsia" w:ascii="仿宋_GB2312" w:hAnsi="Arial" w:eastAsia="仿宋_GB2312" w:cs="仿宋_GB2312"/>
          <w:sz w:val="32"/>
          <w:szCs w:val="32"/>
          <w:highlight w:val="none"/>
          <w:lang w:val="en-US" w:eastAsia="zh-CN"/>
        </w:rPr>
        <w:t>沟通与交流</w:t>
      </w:r>
      <w:r>
        <w:rPr>
          <w:rFonts w:hint="eastAsia" w:ascii="仿宋_GB2312" w:hAnsi="Arial" w:eastAsia="仿宋_GB2312" w:cs="仿宋_GB2312"/>
          <w:sz w:val="32"/>
          <w:szCs w:val="32"/>
          <w:highlight w:val="none"/>
        </w:rPr>
        <w:t>，结合</w:t>
      </w:r>
      <w:r>
        <w:rPr>
          <w:rFonts w:hint="eastAsia" w:ascii="仿宋_GB2312" w:hAnsi="Times New Roman" w:eastAsia="仿宋_GB2312"/>
          <w:spacing w:val="-6"/>
          <w:sz w:val="32"/>
          <w:szCs w:val="32"/>
          <w:lang w:val="en-US" w:eastAsia="zh-CN"/>
        </w:rPr>
        <w:t>县教育体育局</w:t>
      </w:r>
      <w:r>
        <w:rPr>
          <w:rFonts w:hint="eastAsia" w:ascii="仿宋_GB2312" w:hAnsi="Arial" w:eastAsia="仿宋_GB2312" w:cs="仿宋_GB2312"/>
          <w:sz w:val="32"/>
          <w:szCs w:val="32"/>
          <w:highlight w:val="none"/>
        </w:rPr>
        <w:t>的解答及实际情况，专家组讨论后形成最终评价意见，并根据指标体系进行客观、公正的评分，形成《专家意见汇总书》和《专家评价书》。</w:t>
      </w:r>
    </w:p>
    <w:p>
      <w:pPr>
        <w:spacing w:line="360" w:lineRule="auto"/>
        <w:ind w:firstLine="640" w:firstLineChars="200"/>
        <w:rPr>
          <w:rFonts w:ascii="仿宋_GB2312" w:eastAsia="仿宋_GB2312"/>
          <w:color w:val="FF0000"/>
          <w:sz w:val="32"/>
          <w:szCs w:val="32"/>
          <w:u w:val="single"/>
        </w:rPr>
      </w:pPr>
      <w:r>
        <w:rPr>
          <w:rFonts w:hint="eastAsia" w:ascii="仿宋_GB2312" w:hAnsi="Arial" w:eastAsia="仿宋_GB2312" w:cs="仿宋_GB2312"/>
          <w:sz w:val="32"/>
          <w:szCs w:val="32"/>
        </w:rPr>
        <w:t>3.评价报告撰写阶段</w:t>
      </w:r>
    </w:p>
    <w:p>
      <w:pPr>
        <w:spacing w:line="360" w:lineRule="auto"/>
        <w:ind w:firstLine="640" w:firstLineChars="200"/>
        <w:rPr>
          <w:rFonts w:ascii="仿宋_GB2312" w:hAnsi="仿宋" w:eastAsia="仿宋_GB2312" w:cs="仿宋"/>
          <w:bCs/>
          <w:sz w:val="32"/>
          <w:szCs w:val="32"/>
        </w:rPr>
      </w:pPr>
      <w:r>
        <w:rPr>
          <w:rFonts w:hint="eastAsia" w:ascii="仿宋_GB2312" w:hAnsi="Arial" w:eastAsia="仿宋_GB2312" w:cs="仿宋_GB2312"/>
          <w:kern w:val="0"/>
          <w:sz w:val="32"/>
          <w:szCs w:val="32"/>
        </w:rPr>
        <w:t>（1）撰写评价报告。绩效评价工作组汇总专家意见，形成项目绩效评价报告初稿。</w:t>
      </w:r>
    </w:p>
    <w:p>
      <w:pPr>
        <w:spacing w:line="360" w:lineRule="auto"/>
        <w:ind w:firstLine="640" w:firstLineChars="200"/>
        <w:rPr>
          <w:rFonts w:ascii="仿宋_GB2312" w:hAnsi="宋体" w:eastAsia="仿宋_GB2312"/>
          <w:bCs/>
          <w:sz w:val="32"/>
          <w:szCs w:val="32"/>
        </w:rPr>
      </w:pPr>
      <w:r>
        <w:rPr>
          <w:rFonts w:hint="eastAsia" w:ascii="仿宋_GB2312" w:hAnsi="Arial" w:eastAsia="仿宋_GB2312" w:cs="仿宋_GB2312"/>
          <w:kern w:val="0"/>
          <w:sz w:val="32"/>
          <w:szCs w:val="32"/>
        </w:rPr>
        <w:t>（2）沟通初步评价意见。绩效评价报告初稿完成后，绩效评价工作组就报告中所反映的问题与县财政局进行沟通。</w:t>
      </w:r>
    </w:p>
    <w:p>
      <w:pPr>
        <w:spacing w:line="360" w:lineRule="auto"/>
        <w:ind w:firstLine="640" w:firstLineChars="200"/>
        <w:rPr>
          <w:rFonts w:ascii="仿宋_GB2312" w:hAnsi="宋体" w:eastAsia="仿宋_GB2312"/>
          <w:bCs/>
          <w:sz w:val="32"/>
          <w:szCs w:val="32"/>
        </w:rPr>
      </w:pPr>
      <w:r>
        <w:rPr>
          <w:rFonts w:hint="eastAsia" w:ascii="仿宋_GB2312" w:hAnsi="Arial" w:eastAsia="仿宋_GB2312" w:cs="仿宋_GB2312"/>
          <w:kern w:val="0"/>
          <w:sz w:val="32"/>
          <w:szCs w:val="32"/>
        </w:rPr>
        <w:t>（3）形成正式绩效评价报告。绩效评价工作组在县财政局反馈意见的基础上，对报告内容进行完善，形成正式绩效评价报告。</w:t>
      </w:r>
    </w:p>
    <w:p>
      <w:pPr>
        <w:spacing w:line="360" w:lineRule="auto"/>
        <w:ind w:firstLine="672" w:firstLineChars="210"/>
        <w:rPr>
          <w:rFonts w:ascii="仿宋_GB2312" w:eastAsia="仿宋_GB2312"/>
          <w:sz w:val="32"/>
          <w:szCs w:val="32"/>
        </w:rPr>
      </w:pPr>
      <w:r>
        <w:rPr>
          <w:rFonts w:hint="eastAsia" w:ascii="仿宋_GB2312" w:hAnsi="Arial" w:eastAsia="仿宋_GB2312" w:cs="仿宋_GB2312"/>
          <w:kern w:val="0"/>
          <w:sz w:val="32"/>
          <w:szCs w:val="32"/>
        </w:rPr>
        <w:t>（4）报送绩效评价报告。绩效评价工作组将定稿并装订成册的绩效评价报告和评价资料报送给县财政局</w:t>
      </w:r>
      <w:r>
        <w:rPr>
          <w:rFonts w:hint="eastAsia" w:ascii="仿宋_GB2312" w:eastAsia="仿宋_GB2312"/>
          <w:sz w:val="32"/>
          <w:szCs w:val="32"/>
        </w:rPr>
        <w:t>。</w:t>
      </w:r>
    </w:p>
    <w:p>
      <w:pPr>
        <w:pStyle w:val="2"/>
        <w:spacing w:line="360" w:lineRule="auto"/>
        <w:ind w:left="0" w:firstLine="643" w:firstLineChars="200"/>
      </w:pPr>
      <w:r>
        <w:rPr>
          <w:rFonts w:hint="eastAsia"/>
        </w:rPr>
        <w:t>三、</w:t>
      </w:r>
      <w:bookmarkEnd w:id="25"/>
      <w:r>
        <w:rPr>
          <w:rFonts w:hint="eastAsia"/>
        </w:rPr>
        <w:t>绩效评价</w:t>
      </w:r>
      <w:bookmarkEnd w:id="26"/>
      <w:bookmarkEnd w:id="42"/>
      <w:bookmarkEnd w:id="43"/>
      <w:r>
        <w:rPr>
          <w:rFonts w:hint="eastAsia"/>
        </w:rPr>
        <w:t>结果</w:t>
      </w:r>
      <w:bookmarkEnd w:id="44"/>
    </w:p>
    <w:p>
      <w:pPr>
        <w:pStyle w:val="3"/>
        <w:spacing w:line="360" w:lineRule="auto"/>
        <w:ind w:firstLine="643"/>
        <w:rPr>
          <w:rFonts w:ascii="仿宋_GB2312"/>
          <w:b/>
        </w:rPr>
      </w:pPr>
      <w:bookmarkStart w:id="45" w:name="_Toc426226419"/>
      <w:bookmarkStart w:id="46" w:name="_Toc365968755"/>
      <w:bookmarkStart w:id="47" w:name="_Toc426246481"/>
      <w:bookmarkStart w:id="48" w:name="_Toc20473"/>
      <w:r>
        <w:rPr>
          <w:rFonts w:hint="eastAsia" w:ascii="仿宋_GB2312"/>
          <w:b/>
        </w:rPr>
        <w:t>（一）绩效分析</w:t>
      </w:r>
      <w:bookmarkEnd w:id="45"/>
      <w:bookmarkEnd w:id="46"/>
      <w:bookmarkEnd w:id="47"/>
      <w:bookmarkEnd w:id="48"/>
    </w:p>
    <w:p>
      <w:pPr>
        <w:spacing w:line="360" w:lineRule="auto"/>
        <w:ind w:firstLine="672" w:firstLineChars="210"/>
        <w:rPr>
          <w:rFonts w:hint="eastAsia" w:ascii="仿宋_GB2312" w:hAnsi="仿宋_GB2312" w:eastAsia="仿宋_GB2312"/>
          <w:sz w:val="32"/>
          <w:szCs w:val="32"/>
        </w:rPr>
      </w:pPr>
      <w:r>
        <w:rPr>
          <w:rFonts w:hint="eastAsia" w:ascii="仿宋_GB2312" w:hAnsi="仿宋_GB2312" w:eastAsia="仿宋_GB2312"/>
          <w:sz w:val="32"/>
          <w:szCs w:val="32"/>
        </w:rPr>
        <w:t>该项目未</w:t>
      </w:r>
      <w:r>
        <w:rPr>
          <w:rFonts w:hint="eastAsia" w:ascii="仿宋_GB2312" w:hAnsi="仿宋_GB2312" w:eastAsia="仿宋_GB2312"/>
          <w:sz w:val="32"/>
          <w:szCs w:val="32"/>
          <w:lang w:val="en-US" w:eastAsia="zh-CN"/>
        </w:rPr>
        <w:t>填报</w:t>
      </w:r>
      <w:r>
        <w:rPr>
          <w:rFonts w:hint="eastAsia" w:ascii="仿宋_GB2312" w:hAnsi="仿宋_GB2312" w:eastAsia="仿宋_GB2312"/>
          <w:sz w:val="32"/>
          <w:szCs w:val="32"/>
        </w:rPr>
        <w:t>绩效目标申报表，</w:t>
      </w:r>
      <w:r>
        <w:rPr>
          <w:rFonts w:hint="eastAsia" w:ascii="仿宋_GB2312" w:hAnsi="仿宋_GB2312" w:eastAsia="仿宋_GB2312"/>
          <w:sz w:val="32"/>
          <w:szCs w:val="32"/>
          <w:lang w:val="en-US" w:eastAsia="zh-CN"/>
        </w:rPr>
        <w:t>评价时引用</w:t>
      </w:r>
      <w:r>
        <w:rPr>
          <w:rFonts w:hint="eastAsia" w:ascii="仿宋_GB2312" w:hAnsi="仿宋_GB2312" w:eastAsia="仿宋_GB2312"/>
          <w:sz w:val="32"/>
          <w:szCs w:val="32"/>
        </w:rPr>
        <w:t>绩效报告的绩效目标设定情况进行评价。</w:t>
      </w:r>
    </w:p>
    <w:p>
      <w:pPr>
        <w:spacing w:line="360" w:lineRule="auto"/>
        <w:ind w:firstLine="672" w:firstLineChars="210"/>
        <w:rPr>
          <w:rFonts w:ascii="仿宋_GB2312" w:hAnsi="仿宋_GB2312" w:eastAsia="仿宋_GB2312"/>
          <w:sz w:val="32"/>
          <w:szCs w:val="32"/>
        </w:rPr>
      </w:pPr>
      <w:r>
        <w:rPr>
          <w:rFonts w:hint="eastAsia" w:ascii="仿宋_GB2312" w:hAnsi="仿宋_GB2312" w:eastAsia="仿宋_GB2312"/>
          <w:sz w:val="32"/>
          <w:szCs w:val="32"/>
        </w:rPr>
        <w:t>1.目标明确性分析</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项目绩效总目标“预计在2020年10月31日之前将项目全部完成。”设定不明确，未明确项目的“绩”和“效”</w:t>
      </w:r>
      <w:r>
        <w:rPr>
          <w:rFonts w:hint="eastAsia" w:ascii="仿宋_GB2312" w:eastAsia="仿宋_GB2312"/>
          <w:sz w:val="32"/>
          <w:szCs w:val="32"/>
        </w:rPr>
        <w:t>。</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2.目标合理性分析</w:t>
      </w:r>
    </w:p>
    <w:p>
      <w:pPr>
        <w:spacing w:line="360" w:lineRule="auto"/>
        <w:ind w:firstLine="640" w:firstLineChars="200"/>
        <w:rPr>
          <w:rFonts w:ascii="仿宋_GB2312" w:hAnsi="仿宋_GB2312" w:eastAsia="仿宋_GB2312"/>
          <w:sz w:val="32"/>
          <w:szCs w:val="32"/>
        </w:rPr>
      </w:pPr>
      <w:bookmarkStart w:id="49" w:name="_Toc426226420"/>
      <w:r>
        <w:rPr>
          <w:rFonts w:hint="eastAsia" w:ascii="仿宋_GB2312" w:hAnsi="仿宋_GB2312" w:eastAsia="仿宋_GB2312"/>
          <w:sz w:val="32"/>
          <w:szCs w:val="32"/>
        </w:rPr>
        <w:t>该项目决策依据的相关文件较为完整、充分，符合项目立项需要，具有较强的可操作性和可实现性</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阶段性目标能够实现，比较合理</w:t>
      </w:r>
      <w:r>
        <w:rPr>
          <w:rFonts w:hint="eastAsia" w:ascii="仿宋_GB2312" w:hAnsi="仿宋_GB2312" w:eastAsia="仿宋_GB2312"/>
          <w:sz w:val="32"/>
          <w:szCs w:val="32"/>
        </w:rPr>
        <w:t>。</w:t>
      </w:r>
      <w:bookmarkEnd w:id="49"/>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3.项目目标细化程度分析</w:t>
      </w:r>
    </w:p>
    <w:p>
      <w:pPr>
        <w:spacing w:line="360" w:lineRule="auto"/>
        <w:ind w:firstLine="640" w:firstLineChars="200"/>
        <w:rPr>
          <w:rFonts w:ascii="仿宋_GB2312" w:eastAsia="仿宋_GB2312"/>
          <w:kern w:val="0"/>
          <w:sz w:val="32"/>
          <w:szCs w:val="32"/>
        </w:rPr>
      </w:pPr>
      <w:r>
        <w:rPr>
          <w:rFonts w:hint="eastAsia" w:ascii="仿宋_GB2312" w:hAnsi="仿宋_GB2312" w:eastAsia="仿宋_GB2312"/>
          <w:sz w:val="32"/>
          <w:szCs w:val="32"/>
          <w:lang w:val="en-US" w:eastAsia="zh-CN"/>
        </w:rPr>
        <w:t>阶段性目标“</w:t>
      </w:r>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9年8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eastAsia="zh-CN"/>
        </w:rPr>
        <w:t>做好前期摸排调研工作</w:t>
      </w:r>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eastAsia="zh-CN"/>
        </w:rPr>
        <w:t>组织公开招投标工作</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eastAsia="zh-CN"/>
        </w:rPr>
        <w:t>做好项目产品的安装及验收工作</w:t>
      </w:r>
      <w:r>
        <w:rPr>
          <w:rFonts w:hint="eastAsia" w:ascii="仿宋_GB2312" w:hAnsi="仿宋_GB2312" w:eastAsia="仿宋_GB2312"/>
          <w:sz w:val="32"/>
          <w:szCs w:val="32"/>
          <w:lang w:val="en-US" w:eastAsia="zh-CN"/>
        </w:rPr>
        <w:t>”比较细化。但安装产品的数量、验收标准未在目标中细化</w:t>
      </w:r>
      <w:r>
        <w:rPr>
          <w:rFonts w:hint="eastAsia" w:ascii="仿宋_GB2312" w:eastAsia="仿宋_GB2312"/>
          <w:sz w:val="32"/>
          <w:szCs w:val="32"/>
        </w:rPr>
        <w:t>。</w:t>
      </w:r>
    </w:p>
    <w:p>
      <w:pPr>
        <w:pStyle w:val="3"/>
        <w:spacing w:line="360" w:lineRule="auto"/>
        <w:ind w:firstLine="643"/>
        <w:rPr>
          <w:rFonts w:ascii="仿宋_GB2312"/>
          <w:b/>
        </w:rPr>
      </w:pPr>
      <w:bookmarkStart w:id="50" w:name="_Toc365968756"/>
      <w:bookmarkStart w:id="51" w:name="_Toc426226421"/>
      <w:bookmarkStart w:id="52" w:name="_Toc426246482"/>
      <w:bookmarkStart w:id="53" w:name="_Toc28535"/>
      <w:r>
        <w:rPr>
          <w:rFonts w:hint="eastAsia" w:ascii="仿宋_GB2312"/>
          <w:b/>
        </w:rPr>
        <w:t>（二）项目绩效控制评价分析</w:t>
      </w:r>
      <w:bookmarkEnd w:id="50"/>
      <w:bookmarkEnd w:id="51"/>
      <w:bookmarkEnd w:id="52"/>
      <w:bookmarkEnd w:id="53"/>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1.资金使用及管理情况</w:t>
      </w:r>
      <w:bookmarkStart w:id="54" w:name="_Toc426226423"/>
    </w:p>
    <w:p>
      <w:pPr>
        <w:spacing w:line="360" w:lineRule="auto"/>
        <w:ind w:firstLine="640" w:firstLineChars="200"/>
        <w:rPr>
          <w:rFonts w:ascii="仿宋_GB2312" w:eastAsia="仿宋_GB2312"/>
          <w:kern w:val="0"/>
          <w:sz w:val="32"/>
          <w:szCs w:val="32"/>
        </w:rPr>
      </w:pPr>
      <w:r>
        <w:rPr>
          <w:rFonts w:hint="eastAsia" w:ascii="仿宋_GB2312" w:hAnsi="仿宋" w:eastAsia="仿宋_GB2312"/>
          <w:sz w:val="32"/>
          <w:szCs w:val="32"/>
        </w:rPr>
        <w:t>为了规范项目资金的使用与管理，县教育体育局制定了《香河县教育和体育局财务管理制度》和《三重一大事项决策制度》，规定了大额资金使用、资金管理等内容，在实际管理过程中能够做到严格执行，保证项目资金的规范管理。项目经费支出</w:t>
      </w:r>
      <w:r>
        <w:rPr>
          <w:rFonts w:hint="eastAsia" w:ascii="仿宋_GB2312" w:hAnsi="仿宋" w:eastAsia="仿宋_GB2312"/>
          <w:sz w:val="32"/>
          <w:szCs w:val="32"/>
          <w:lang w:val="en-US" w:eastAsia="zh-CN"/>
        </w:rPr>
        <w:t>时</w:t>
      </w:r>
      <w:r>
        <w:rPr>
          <w:rFonts w:hint="eastAsia" w:ascii="仿宋_GB2312" w:hAnsi="仿宋" w:eastAsia="仿宋_GB2312"/>
          <w:sz w:val="32"/>
          <w:szCs w:val="32"/>
        </w:rPr>
        <w:t>按照制度进行</w:t>
      </w:r>
      <w:r>
        <w:rPr>
          <w:rFonts w:hint="eastAsia" w:ascii="仿宋_GB2312" w:hAnsi="仿宋" w:eastAsia="仿宋_GB2312"/>
          <w:sz w:val="32"/>
          <w:szCs w:val="32"/>
          <w:lang w:val="en-US" w:eastAsia="zh-CN"/>
        </w:rPr>
        <w:t>了</w:t>
      </w:r>
      <w:r>
        <w:rPr>
          <w:rFonts w:hint="eastAsia" w:ascii="仿宋_GB2312" w:hAnsi="仿宋" w:eastAsia="仿宋_GB2312"/>
          <w:sz w:val="32"/>
          <w:szCs w:val="32"/>
        </w:rPr>
        <w:t>审核与审批</w:t>
      </w:r>
      <w:r>
        <w:rPr>
          <w:rFonts w:hint="eastAsia" w:ascii="仿宋_GB2312" w:hAnsi="仿宋" w:eastAsia="仿宋_GB2312"/>
          <w:sz w:val="32"/>
          <w:szCs w:val="32"/>
          <w:lang w:eastAsia="zh-CN"/>
        </w:rPr>
        <w:t>。</w:t>
      </w:r>
    </w:p>
    <w:p>
      <w:pPr>
        <w:spacing w:line="360" w:lineRule="auto"/>
        <w:ind w:firstLine="672" w:firstLineChars="210"/>
        <w:rPr>
          <w:rFonts w:hint="default" w:ascii="仿宋_GB2312" w:eastAsia="仿宋_GB2312"/>
          <w:sz w:val="32"/>
          <w:szCs w:val="32"/>
          <w:lang w:val="en-US" w:eastAsia="zh-CN"/>
        </w:rPr>
      </w:pPr>
      <w:r>
        <w:rPr>
          <w:rFonts w:hint="eastAsia" w:ascii="仿宋_GB2312" w:hAnsi="Arial" w:eastAsia="仿宋_GB2312" w:cs="仿宋_GB2312"/>
          <w:sz w:val="32"/>
          <w:szCs w:val="32"/>
        </w:rPr>
        <w:t>县财政局财政预算</w:t>
      </w:r>
      <w:r>
        <w:rPr>
          <w:rFonts w:hint="eastAsia" w:ascii="仿宋_GB2312" w:hAnsi="Arial" w:eastAsia="仿宋_GB2312" w:cs="仿宋_GB2312"/>
          <w:sz w:val="32"/>
          <w:szCs w:val="32"/>
          <w:lang w:val="en-US" w:eastAsia="zh-CN"/>
        </w:rPr>
        <w:t>2020年</w:t>
      </w:r>
      <w:r>
        <w:rPr>
          <w:rFonts w:hint="eastAsia" w:ascii="仿宋_GB2312" w:hAnsi="Arial" w:eastAsia="仿宋_GB2312" w:cs="仿宋_GB2312"/>
          <w:sz w:val="32"/>
          <w:szCs w:val="32"/>
        </w:rPr>
        <w:t>批复资金</w:t>
      </w:r>
      <w:r>
        <w:rPr>
          <w:rFonts w:hint="eastAsia" w:ascii="仿宋_GB2312" w:hAnsi="宋体" w:eastAsia="仿宋_GB2312"/>
          <w:sz w:val="32"/>
          <w:szCs w:val="32"/>
          <w:lang w:val="en-US" w:eastAsia="zh-CN"/>
        </w:rPr>
        <w:t>224.28</w:t>
      </w:r>
      <w:r>
        <w:rPr>
          <w:rFonts w:hint="eastAsia" w:ascii="仿宋_GB2312" w:hAnsi="Arial" w:eastAsia="仿宋_GB2312" w:cs="仿宋_GB2312"/>
          <w:sz w:val="32"/>
          <w:szCs w:val="32"/>
        </w:rPr>
        <w:t>万元，</w:t>
      </w:r>
      <w:r>
        <w:rPr>
          <w:rFonts w:hint="eastAsia" w:ascii="仿宋_GB2312" w:hAnsi="Arial" w:eastAsia="仿宋_GB2312" w:cs="仿宋_GB2312"/>
          <w:sz w:val="32"/>
          <w:szCs w:val="32"/>
          <w:lang w:val="en-US" w:eastAsia="zh-CN"/>
        </w:rPr>
        <w:t>2020年</w:t>
      </w:r>
      <w:r>
        <w:rPr>
          <w:rFonts w:hint="eastAsia" w:ascii="仿宋_GB2312" w:hAnsi="Arial" w:eastAsia="仿宋_GB2312" w:cs="仿宋_GB2312"/>
          <w:sz w:val="32"/>
          <w:szCs w:val="32"/>
        </w:rPr>
        <w:t>实际到位资金</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213.0660</w:t>
      </w:r>
      <w:r>
        <w:rPr>
          <w:rFonts w:hint="eastAsia" w:ascii="仿宋_GB2312" w:hAnsi="Arial" w:eastAsia="仿宋_GB2312" w:cs="仿宋_GB2312"/>
          <w:sz w:val="32"/>
          <w:szCs w:val="32"/>
        </w:rPr>
        <w:t>万元，截至20</w:t>
      </w:r>
      <w:r>
        <w:rPr>
          <w:rFonts w:hint="eastAsia" w:ascii="仿宋_GB2312" w:hAnsi="Arial" w:eastAsia="仿宋_GB2312" w:cs="仿宋_GB2312"/>
          <w:sz w:val="32"/>
          <w:szCs w:val="32"/>
          <w:lang w:val="en-US" w:eastAsia="zh-CN"/>
        </w:rPr>
        <w:t>20</w:t>
      </w:r>
      <w:r>
        <w:rPr>
          <w:rFonts w:hint="eastAsia" w:ascii="仿宋_GB2312" w:hAnsi="Arial" w:eastAsia="仿宋_GB2312" w:cs="仿宋_GB2312"/>
          <w:sz w:val="32"/>
          <w:szCs w:val="32"/>
        </w:rPr>
        <w:t>年</w:t>
      </w:r>
      <w:r>
        <w:rPr>
          <w:rFonts w:hint="eastAsia" w:ascii="仿宋_GB2312" w:hAnsi="Arial" w:eastAsia="仿宋_GB2312" w:cs="仿宋_GB2312"/>
          <w:sz w:val="32"/>
          <w:szCs w:val="32"/>
          <w:lang w:val="en-US" w:eastAsia="zh-CN"/>
        </w:rPr>
        <w:t>8</w:t>
      </w:r>
      <w:r>
        <w:rPr>
          <w:rFonts w:hint="eastAsia" w:ascii="仿宋_GB2312" w:hAnsi="Arial" w:eastAsia="仿宋_GB2312" w:cs="仿宋_GB2312"/>
          <w:sz w:val="32"/>
          <w:szCs w:val="32"/>
        </w:rPr>
        <w:t>月31日使用资金</w:t>
      </w:r>
      <w:r>
        <w:rPr>
          <w:rFonts w:hint="eastAsia" w:ascii="仿宋_GB2312" w:hAnsi="宋体" w:eastAsia="仿宋_GB2312"/>
          <w:sz w:val="32"/>
          <w:szCs w:val="32"/>
          <w:lang w:val="en-US" w:eastAsia="zh-CN"/>
        </w:rPr>
        <w:t>213.0660</w:t>
      </w:r>
      <w:r>
        <w:rPr>
          <w:rFonts w:hint="eastAsia" w:ascii="仿宋_GB2312" w:eastAsia="仿宋_GB2312"/>
          <w:sz w:val="32"/>
          <w:szCs w:val="32"/>
        </w:rPr>
        <w:t>万元，</w:t>
      </w:r>
      <w:r>
        <w:rPr>
          <w:rFonts w:hint="eastAsia" w:ascii="仿宋_GB2312" w:eastAsia="仿宋_GB2312"/>
          <w:sz w:val="32"/>
          <w:szCs w:val="32"/>
          <w:lang w:val="en-US" w:eastAsia="zh-CN"/>
        </w:rPr>
        <w:t>预算指标结余11.2140</w:t>
      </w:r>
      <w:r>
        <w:rPr>
          <w:rFonts w:hint="eastAsia" w:ascii="仿宋_GB2312" w:eastAsia="仿宋_GB2312"/>
          <w:sz w:val="32"/>
          <w:szCs w:val="32"/>
        </w:rPr>
        <w:t>万元，</w:t>
      </w:r>
      <w:r>
        <w:rPr>
          <w:rFonts w:hint="eastAsia" w:ascii="仿宋_GB2312" w:eastAsia="仿宋_GB2312"/>
          <w:sz w:val="32"/>
          <w:szCs w:val="32"/>
          <w:lang w:val="en-US" w:eastAsia="zh-CN"/>
        </w:rPr>
        <w:t>为合同尾款。</w:t>
      </w:r>
      <w:r>
        <w:rPr>
          <w:rFonts w:hint="eastAsia" w:ascii="仿宋_GB2312" w:eastAsia="仿宋_GB2312"/>
          <w:sz w:val="32"/>
          <w:szCs w:val="32"/>
        </w:rPr>
        <w:t>资金</w:t>
      </w:r>
      <w:r>
        <w:rPr>
          <w:rFonts w:hint="eastAsia" w:ascii="仿宋_GB2312" w:eastAsia="仿宋_GB2312"/>
          <w:sz w:val="32"/>
          <w:szCs w:val="32"/>
          <w:lang w:val="en-US" w:eastAsia="zh-CN"/>
        </w:rPr>
        <w:t>使用</w:t>
      </w:r>
      <w:r>
        <w:rPr>
          <w:rFonts w:hint="eastAsia" w:ascii="仿宋_GB2312" w:eastAsia="仿宋_GB2312"/>
          <w:sz w:val="32"/>
          <w:szCs w:val="32"/>
        </w:rPr>
        <w:t>率</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val="en-US" w:eastAsia="zh-CN"/>
        </w:rPr>
        <w:t>预算执行率95%。</w:t>
      </w:r>
    </w:p>
    <w:p>
      <w:pPr>
        <w:spacing w:line="360" w:lineRule="auto"/>
        <w:ind w:firstLine="672" w:firstLineChars="210"/>
        <w:rPr>
          <w:rFonts w:ascii="仿宋_GB2312" w:eastAsia="仿宋_GB2312"/>
          <w:kern w:val="0"/>
          <w:sz w:val="32"/>
          <w:szCs w:val="32"/>
          <w:highlight w:val="none"/>
        </w:rPr>
      </w:pPr>
      <w:r>
        <w:rPr>
          <w:rFonts w:hint="eastAsia" w:ascii="仿宋_GB2312" w:eastAsia="仿宋_GB2312"/>
          <w:kern w:val="0"/>
          <w:sz w:val="32"/>
          <w:szCs w:val="32"/>
          <w:lang w:eastAsia="zh-CN"/>
        </w:rPr>
        <w:t>县教育体育局</w:t>
      </w:r>
      <w:r>
        <w:rPr>
          <w:rFonts w:hint="eastAsia" w:ascii="仿宋_GB2312" w:eastAsia="仿宋_GB2312"/>
          <w:kern w:val="0"/>
          <w:sz w:val="32"/>
          <w:szCs w:val="32"/>
        </w:rPr>
        <w:t>的财务管理制度基本健全，</w:t>
      </w:r>
      <w:r>
        <w:rPr>
          <w:rFonts w:hint="eastAsia" w:ascii="仿宋_GB2312" w:eastAsia="仿宋_GB2312"/>
          <w:kern w:val="0"/>
          <w:sz w:val="32"/>
          <w:szCs w:val="32"/>
          <w:lang w:val="en-US" w:eastAsia="zh-CN"/>
        </w:rPr>
        <w:t>并</w:t>
      </w:r>
      <w:r>
        <w:rPr>
          <w:rFonts w:hint="eastAsia" w:ascii="仿宋_GB2312" w:eastAsia="仿宋_GB2312"/>
          <w:kern w:val="0"/>
          <w:sz w:val="32"/>
          <w:szCs w:val="32"/>
        </w:rPr>
        <w:t>按照项目预</w:t>
      </w:r>
      <w:r>
        <w:rPr>
          <w:rFonts w:hint="eastAsia" w:ascii="仿宋_GB2312" w:eastAsia="仿宋_GB2312"/>
          <w:kern w:val="0"/>
          <w:sz w:val="32"/>
          <w:szCs w:val="32"/>
          <w:highlight w:val="none"/>
        </w:rPr>
        <w:t>算内容执行，</w:t>
      </w:r>
      <w:r>
        <w:rPr>
          <w:rFonts w:hint="eastAsia" w:ascii="仿宋_GB2312" w:eastAsia="仿宋_GB2312"/>
          <w:kern w:val="0"/>
          <w:sz w:val="32"/>
          <w:szCs w:val="32"/>
          <w:highlight w:val="none"/>
          <w:lang w:val="en-US" w:eastAsia="zh-CN"/>
        </w:rPr>
        <w:t>项目前期做了充分调研，结合实际需求编制项目预算。但预算编制依据的充分性仍有待提高</w:t>
      </w:r>
      <w:r>
        <w:rPr>
          <w:rFonts w:hint="eastAsia" w:ascii="仿宋_GB2312" w:eastAsia="仿宋_GB2312"/>
          <w:kern w:val="0"/>
          <w:sz w:val="32"/>
          <w:szCs w:val="32"/>
          <w:highlight w:val="none"/>
          <w:lang w:eastAsia="zh-CN"/>
        </w:rPr>
        <w:t>，</w:t>
      </w:r>
      <w:r>
        <w:rPr>
          <w:rFonts w:hint="eastAsia" w:ascii="仿宋_GB2312" w:eastAsia="仿宋_GB2312"/>
          <w:kern w:val="0"/>
          <w:sz w:val="32"/>
          <w:szCs w:val="32"/>
          <w:highlight w:val="none"/>
          <w:lang w:val="en-US" w:eastAsia="zh-CN"/>
        </w:rPr>
        <w:t>缺少专家论证意见、预算评审报告等相关支撑材料</w:t>
      </w:r>
      <w:r>
        <w:rPr>
          <w:rFonts w:hint="eastAsia" w:ascii="仿宋_GB2312" w:eastAsia="仿宋_GB2312"/>
          <w:kern w:val="0"/>
          <w:sz w:val="32"/>
          <w:szCs w:val="32"/>
          <w:highlight w:val="none"/>
        </w:rPr>
        <w:t>。</w:t>
      </w:r>
    </w:p>
    <w:p>
      <w:pPr>
        <w:spacing w:line="360" w:lineRule="auto"/>
        <w:ind w:firstLine="672" w:firstLineChars="210"/>
        <w:rPr>
          <w:rFonts w:ascii="仿宋_GB2312" w:eastAsia="仿宋_GB2312"/>
          <w:kern w:val="0"/>
          <w:sz w:val="32"/>
          <w:szCs w:val="32"/>
        </w:rPr>
      </w:pPr>
      <w:r>
        <w:rPr>
          <w:rFonts w:hint="eastAsia" w:ascii="仿宋_GB2312" w:eastAsia="仿宋_GB2312"/>
          <w:kern w:val="0"/>
          <w:sz w:val="32"/>
          <w:szCs w:val="32"/>
        </w:rPr>
        <w:t>评价认为，</w:t>
      </w:r>
      <w:bookmarkEnd w:id="54"/>
      <w:bookmarkStart w:id="55" w:name="_Toc365968757"/>
      <w:r>
        <w:rPr>
          <w:rFonts w:hint="eastAsia" w:ascii="仿宋_GB2312" w:eastAsia="仿宋_GB2312"/>
          <w:kern w:val="0"/>
          <w:sz w:val="32"/>
          <w:szCs w:val="32"/>
        </w:rPr>
        <w:t>财务管理制度基本健全</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但缺少</w:t>
      </w:r>
      <w:r>
        <w:rPr>
          <w:rFonts w:hint="eastAsia" w:ascii="仿宋_GB2312" w:hAnsi="仿宋" w:eastAsia="仿宋_GB2312"/>
          <w:sz w:val="32"/>
          <w:szCs w:val="32"/>
        </w:rPr>
        <w:t>专项资金管理制度</w:t>
      </w:r>
      <w:r>
        <w:rPr>
          <w:rFonts w:hint="eastAsia" w:ascii="仿宋_GB2312" w:hAnsi="仿宋" w:eastAsia="仿宋_GB2312"/>
          <w:sz w:val="32"/>
          <w:szCs w:val="32"/>
          <w:lang w:eastAsia="zh-CN"/>
        </w:rPr>
        <w:t>。</w:t>
      </w:r>
      <w:r>
        <w:rPr>
          <w:rFonts w:hint="eastAsia" w:ascii="仿宋_GB2312" w:eastAsia="仿宋_GB2312"/>
          <w:kern w:val="0"/>
          <w:sz w:val="32"/>
          <w:szCs w:val="32"/>
          <w:lang w:val="en-US" w:eastAsia="zh-CN"/>
        </w:rPr>
        <w:t>项目独立核算，资金使用比较规范，项目前期做了充分调研。但</w:t>
      </w:r>
      <w:r>
        <w:rPr>
          <w:rFonts w:hint="eastAsia" w:ascii="仿宋_GB2312" w:eastAsia="仿宋_GB2312"/>
          <w:kern w:val="0"/>
          <w:sz w:val="32"/>
          <w:szCs w:val="32"/>
        </w:rPr>
        <w:t>预算编制</w:t>
      </w:r>
      <w:r>
        <w:rPr>
          <w:rFonts w:hint="eastAsia" w:ascii="仿宋_GB2312" w:eastAsia="仿宋_GB2312"/>
          <w:kern w:val="0"/>
          <w:sz w:val="32"/>
          <w:szCs w:val="32"/>
          <w:lang w:val="en-US" w:eastAsia="zh-CN"/>
        </w:rPr>
        <w:t>依据的充分性</w:t>
      </w:r>
      <w:r>
        <w:rPr>
          <w:rFonts w:hint="eastAsia" w:ascii="仿宋_GB2312" w:eastAsia="仿宋_GB2312"/>
          <w:kern w:val="0"/>
          <w:sz w:val="32"/>
          <w:szCs w:val="32"/>
        </w:rPr>
        <w:t>有待</w:t>
      </w:r>
      <w:r>
        <w:rPr>
          <w:rFonts w:hint="eastAsia" w:ascii="仿宋_GB2312" w:eastAsia="仿宋_GB2312"/>
          <w:kern w:val="0"/>
          <w:sz w:val="32"/>
          <w:szCs w:val="32"/>
          <w:lang w:val="en-US" w:eastAsia="zh-CN"/>
        </w:rPr>
        <w:t>提高</w:t>
      </w:r>
      <w:r>
        <w:rPr>
          <w:rFonts w:hint="eastAsia" w:ascii="仿宋_GB2312" w:eastAsia="仿宋_GB2312"/>
          <w:kern w:val="0"/>
          <w:sz w:val="32"/>
          <w:szCs w:val="32"/>
        </w:rPr>
        <w:t>。</w:t>
      </w:r>
    </w:p>
    <w:p>
      <w:pPr>
        <w:spacing w:line="360" w:lineRule="auto"/>
        <w:ind w:firstLine="672" w:firstLineChars="210"/>
        <w:rPr>
          <w:rFonts w:ascii="仿宋_GB2312" w:eastAsia="仿宋_GB2312"/>
          <w:bCs/>
          <w:kern w:val="44"/>
          <w:sz w:val="32"/>
          <w:szCs w:val="32"/>
        </w:rPr>
      </w:pPr>
      <w:bookmarkStart w:id="56" w:name="_Toc426226424"/>
      <w:r>
        <w:rPr>
          <w:rFonts w:hint="eastAsia" w:ascii="仿宋_GB2312" w:eastAsia="仿宋_GB2312"/>
          <w:bCs/>
          <w:kern w:val="44"/>
          <w:sz w:val="32"/>
          <w:szCs w:val="32"/>
        </w:rPr>
        <w:t>2.项目组织情况</w:t>
      </w:r>
      <w:bookmarkEnd w:id="56"/>
    </w:p>
    <w:p>
      <w:pPr>
        <w:adjustRightInd w:val="0"/>
        <w:spacing w:line="360" w:lineRule="auto"/>
        <w:ind w:firstLine="640" w:firstLineChars="200"/>
        <w:rPr>
          <w:rFonts w:ascii="仿宋_GB2312" w:eastAsia="仿宋_GB2312"/>
          <w:kern w:val="10"/>
          <w:sz w:val="32"/>
          <w:szCs w:val="32"/>
        </w:rPr>
      </w:pPr>
      <w:r>
        <w:rPr>
          <w:rFonts w:hint="eastAsia" w:ascii="仿宋_GB2312" w:eastAsia="仿宋_GB2312"/>
          <w:kern w:val="10"/>
          <w:sz w:val="32"/>
          <w:szCs w:val="32"/>
        </w:rPr>
        <w:t>（1）项目招投标情况</w:t>
      </w:r>
    </w:p>
    <w:p>
      <w:pPr>
        <w:adjustRightInd w:val="0"/>
        <w:spacing w:line="360" w:lineRule="auto"/>
        <w:ind w:firstLine="640" w:firstLineChars="200"/>
        <w:rPr>
          <w:rFonts w:ascii="仿宋_GB2312" w:eastAsia="仿宋_GB2312"/>
          <w:sz w:val="32"/>
          <w:szCs w:val="32"/>
        </w:rPr>
      </w:pPr>
      <w:r>
        <w:rPr>
          <w:rFonts w:hint="eastAsia" w:ascii="仿宋_GB2312" w:eastAsia="仿宋_GB2312"/>
          <w:bCs/>
          <w:sz w:val="32"/>
          <w:szCs w:val="32"/>
          <w:lang w:eastAsia="zh-CN"/>
        </w:rPr>
        <w:t>县教育体育局</w:t>
      </w:r>
      <w:r>
        <w:rPr>
          <w:rFonts w:hint="eastAsia" w:ascii="仿宋_GB2312" w:eastAsia="仿宋_GB2312"/>
          <w:sz w:val="32"/>
          <w:szCs w:val="32"/>
          <w:lang w:val="en-US" w:eastAsia="zh-CN"/>
        </w:rPr>
        <w:t>执行</w:t>
      </w:r>
      <w:r>
        <w:rPr>
          <w:rFonts w:hint="eastAsia" w:ascii="仿宋_GB2312" w:eastAsia="仿宋_GB2312"/>
          <w:sz w:val="32"/>
          <w:szCs w:val="32"/>
        </w:rPr>
        <w:t>公开</w:t>
      </w:r>
      <w:r>
        <w:rPr>
          <w:rFonts w:hint="eastAsia" w:ascii="仿宋_GB2312" w:eastAsia="仿宋_GB2312"/>
          <w:bCs/>
          <w:sz w:val="32"/>
          <w:szCs w:val="32"/>
        </w:rPr>
        <w:t>招标</w:t>
      </w:r>
      <w:r>
        <w:rPr>
          <w:rFonts w:hint="eastAsia" w:ascii="仿宋_GB2312" w:eastAsia="仿宋_GB2312"/>
          <w:bCs/>
          <w:sz w:val="32"/>
          <w:szCs w:val="32"/>
          <w:lang w:val="en-US" w:eastAsia="zh-CN"/>
        </w:rPr>
        <w:t>方式进行采购</w:t>
      </w:r>
      <w:r>
        <w:rPr>
          <w:rFonts w:hint="eastAsia" w:ascii="仿宋_GB2312" w:eastAsia="仿宋_GB2312"/>
          <w:bCs/>
          <w:sz w:val="32"/>
          <w:szCs w:val="32"/>
        </w:rPr>
        <w:t>，</w:t>
      </w:r>
      <w:r>
        <w:rPr>
          <w:rFonts w:hint="eastAsia" w:ascii="仿宋_GB2312" w:eastAsia="仿宋_GB2312"/>
          <w:bCs/>
          <w:sz w:val="32"/>
          <w:szCs w:val="32"/>
          <w:highlight w:val="none"/>
        </w:rPr>
        <w:t>流程</w:t>
      </w:r>
      <w:r>
        <w:rPr>
          <w:rFonts w:hint="eastAsia" w:ascii="仿宋_GB2312" w:eastAsia="仿宋_GB2312"/>
          <w:bCs/>
          <w:sz w:val="32"/>
          <w:szCs w:val="32"/>
        </w:rPr>
        <w:t>比较规范，措施比较到位。县教育体育局</w:t>
      </w:r>
      <w:r>
        <w:rPr>
          <w:rFonts w:hint="eastAsia" w:ascii="仿宋_GB2312" w:eastAsia="仿宋_GB2312"/>
          <w:sz w:val="32"/>
          <w:szCs w:val="32"/>
        </w:rPr>
        <w:t>根据《中华人民共和国政府采购法》、《中华人民共和国政府采购法实施条理》、《中华人民共和国财政部令第87号——政府采购货物和服务招标投标管理办法》相关规定，委托</w:t>
      </w:r>
      <w:r>
        <w:rPr>
          <w:rFonts w:hint="eastAsia" w:ascii="仿宋_GB2312" w:eastAsia="仿宋_GB2312"/>
          <w:sz w:val="32"/>
          <w:szCs w:val="32"/>
          <w:lang w:val="en-US" w:eastAsia="zh-CN"/>
        </w:rPr>
        <w:t>河北至成招标有限公司</w:t>
      </w:r>
      <w:r>
        <w:rPr>
          <w:rFonts w:hint="eastAsia" w:ascii="仿宋_GB2312" w:eastAsia="仿宋_GB2312"/>
          <w:sz w:val="32"/>
          <w:szCs w:val="32"/>
        </w:rPr>
        <w:t>，于201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日发布</w:t>
      </w:r>
      <w:r>
        <w:rPr>
          <w:rFonts w:hint="eastAsia" w:ascii="仿宋_GB2312" w:eastAsia="仿宋_GB2312"/>
          <w:kern w:val="0"/>
          <w:sz w:val="32"/>
          <w:szCs w:val="32"/>
        </w:rPr>
        <w:t>“</w:t>
      </w:r>
      <w:r>
        <w:rPr>
          <w:rFonts w:hint="eastAsia" w:ascii="仿宋_GB2312" w:hAnsi="仿宋" w:eastAsia="仿宋_GB2312"/>
          <w:color w:val="000000"/>
          <w:sz w:val="32"/>
          <w:szCs w:val="32"/>
          <w:lang w:val="en-US" w:eastAsia="zh-CN"/>
        </w:rPr>
        <w:t>香河县中小学幼儿园安防建设</w:t>
      </w:r>
      <w:r>
        <w:rPr>
          <w:rFonts w:hint="eastAsia" w:ascii="仿宋_GB2312" w:eastAsia="仿宋_GB2312"/>
          <w:kern w:val="0"/>
          <w:sz w:val="32"/>
          <w:szCs w:val="32"/>
        </w:rPr>
        <w:t>”项目</w:t>
      </w:r>
      <w:r>
        <w:rPr>
          <w:rFonts w:hint="eastAsia" w:ascii="仿宋_GB2312" w:eastAsia="仿宋_GB2312"/>
          <w:sz w:val="32"/>
          <w:szCs w:val="32"/>
        </w:rPr>
        <w:t>公开招标公告，对该项目供应商单位进行公开招标。</w:t>
      </w:r>
    </w:p>
    <w:p>
      <w:pPr>
        <w:adjustRightIn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通过评标委员会评议于201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月2</w:t>
      </w:r>
      <w:r>
        <w:rPr>
          <w:rFonts w:hint="eastAsia" w:ascii="仿宋_GB2312" w:eastAsia="仿宋_GB2312"/>
          <w:sz w:val="32"/>
          <w:szCs w:val="32"/>
          <w:lang w:val="en-US" w:eastAsia="zh-CN"/>
        </w:rPr>
        <w:t>7</w:t>
      </w:r>
      <w:r>
        <w:rPr>
          <w:rFonts w:hint="eastAsia" w:ascii="仿宋_GB2312" w:eastAsia="仿宋_GB2312"/>
          <w:sz w:val="32"/>
          <w:szCs w:val="32"/>
        </w:rPr>
        <w:t>日确定</w:t>
      </w:r>
      <w:r>
        <w:rPr>
          <w:rFonts w:hint="eastAsia" w:ascii="仿宋_GB2312" w:eastAsia="仿宋_GB2312"/>
          <w:sz w:val="32"/>
          <w:szCs w:val="32"/>
          <w:lang w:val="en-US" w:eastAsia="zh-CN"/>
        </w:rPr>
        <w:t>易慧创新（北京）智能科技有限公司为</w:t>
      </w:r>
      <w:r>
        <w:rPr>
          <w:rFonts w:hint="eastAsia" w:ascii="仿宋_GB2312" w:eastAsia="仿宋_GB2312"/>
          <w:kern w:val="0"/>
          <w:sz w:val="32"/>
          <w:szCs w:val="32"/>
        </w:rPr>
        <w:t>项目</w:t>
      </w:r>
      <w:r>
        <w:rPr>
          <w:rFonts w:hint="eastAsia" w:ascii="仿宋_GB2312" w:eastAsia="仿宋_GB2312"/>
          <w:sz w:val="32"/>
          <w:szCs w:val="32"/>
        </w:rPr>
        <w:t>中标单位</w:t>
      </w:r>
      <w:r>
        <w:rPr>
          <w:rFonts w:hint="eastAsia" w:ascii="仿宋_GB2312" w:eastAsia="仿宋_GB2312"/>
          <w:sz w:val="32"/>
          <w:szCs w:val="32"/>
          <w:lang w:eastAsia="zh-CN"/>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（2）验收情况</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中小学安防建设项目资金”项目于2020年5月15日，由学校、县教育体育局、代理方等共同对31所中小学幼儿园的智能升降柱进行验收，验收内容包括：供应商提供的货物品牌、名称、型号、配置、规格、外观、生产厂商、技术性能、数量、服务承诺及施工情况等内容，对照项目政府采购合同、供应商投标文件进行现场检验、核对和验收。验收结果为合格</w:t>
      </w:r>
      <w:r>
        <w:rPr>
          <w:rFonts w:hint="eastAsia" w:ascii="仿宋_GB2312" w:hAnsi="仿宋" w:eastAsia="仿宋_GB2312"/>
          <w:sz w:val="32"/>
          <w:szCs w:val="32"/>
        </w:rPr>
        <w:t>。</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评价认为，项目采取公开招投标</w:t>
      </w:r>
      <w:r>
        <w:rPr>
          <w:rFonts w:hint="eastAsia" w:ascii="仿宋_GB2312" w:hAnsi="仿宋" w:eastAsia="仿宋_GB2312"/>
          <w:sz w:val="32"/>
          <w:szCs w:val="32"/>
          <w:lang w:val="en-US" w:eastAsia="zh-CN"/>
        </w:rPr>
        <w:t>进行采购</w:t>
      </w:r>
      <w:r>
        <w:rPr>
          <w:rFonts w:hint="eastAsia" w:ascii="仿宋_GB2312" w:hAnsi="仿宋" w:eastAsia="仿宋_GB2312"/>
          <w:sz w:val="32"/>
          <w:szCs w:val="32"/>
        </w:rPr>
        <w:t>的流程比较规范，措施比较到位，过程严谨清晰，机制健全并得到严格执行。但项目实施过程中缺少对中小学安防建设项目资金项目招标代理机构选定的过程遴选程序资料。</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3.项目管理情况</w:t>
      </w:r>
    </w:p>
    <w:p>
      <w:pPr>
        <w:spacing w:line="360" w:lineRule="auto"/>
        <w:ind w:firstLine="616" w:firstLineChars="200"/>
        <w:rPr>
          <w:rFonts w:hint="default" w:ascii="仿宋_GB2312" w:eastAsia="仿宋_GB2312"/>
          <w:bCs/>
          <w:kern w:val="44"/>
          <w:sz w:val="32"/>
          <w:szCs w:val="32"/>
          <w:lang w:val="en-US" w:eastAsia="zh-CN"/>
        </w:rPr>
      </w:pPr>
      <w:r>
        <w:rPr>
          <w:rFonts w:hint="eastAsia" w:ascii="仿宋_GB2312" w:hAnsi="Times New Roman" w:eastAsia="仿宋_GB2312"/>
          <w:spacing w:val="-6"/>
          <w:sz w:val="32"/>
          <w:szCs w:val="32"/>
        </w:rPr>
        <w:t>县教育体育局</w:t>
      </w:r>
      <w:r>
        <w:rPr>
          <w:rFonts w:hint="eastAsia" w:ascii="仿宋_GB2312" w:eastAsia="仿宋_GB2312"/>
          <w:bCs/>
          <w:kern w:val="44"/>
          <w:sz w:val="32"/>
          <w:szCs w:val="32"/>
          <w:lang w:val="en-US" w:eastAsia="zh-CN"/>
        </w:rPr>
        <w:t>制定了</w:t>
      </w:r>
      <w:r>
        <w:rPr>
          <w:rFonts w:hint="eastAsia" w:ascii="仿宋_GB2312" w:eastAsia="仿宋_GB2312"/>
          <w:bCs/>
          <w:kern w:val="44"/>
          <w:sz w:val="32"/>
          <w:szCs w:val="32"/>
        </w:rPr>
        <w:t>《学校防撞设施项目支出预算管理办法》、《学校防撞设施项目管理办法》等项目管理制度</w:t>
      </w:r>
      <w:r>
        <w:rPr>
          <w:rFonts w:hint="eastAsia" w:ascii="仿宋_GB2312" w:eastAsia="仿宋_GB2312"/>
          <w:bCs/>
          <w:kern w:val="44"/>
          <w:sz w:val="32"/>
          <w:szCs w:val="32"/>
          <w:lang w:eastAsia="zh-CN"/>
        </w:rPr>
        <w:t>，</w:t>
      </w:r>
      <w:r>
        <w:rPr>
          <w:rFonts w:hint="eastAsia" w:ascii="仿宋_GB2312" w:eastAsia="仿宋_GB2312"/>
          <w:bCs/>
          <w:kern w:val="44"/>
          <w:sz w:val="32"/>
          <w:szCs w:val="32"/>
        </w:rPr>
        <w:t>对项目的施工过程</w:t>
      </w:r>
      <w:r>
        <w:rPr>
          <w:rFonts w:hint="eastAsia" w:ascii="仿宋_GB2312" w:eastAsia="仿宋_GB2312"/>
          <w:bCs/>
          <w:kern w:val="44"/>
          <w:sz w:val="32"/>
          <w:szCs w:val="32"/>
          <w:lang w:val="en-US" w:eastAsia="zh-CN"/>
        </w:rPr>
        <w:t>及管理</w:t>
      </w:r>
      <w:r>
        <w:rPr>
          <w:rFonts w:hint="eastAsia" w:ascii="仿宋_GB2312" w:eastAsia="仿宋_GB2312"/>
          <w:bCs/>
          <w:kern w:val="44"/>
          <w:sz w:val="32"/>
          <w:szCs w:val="32"/>
        </w:rPr>
        <w:t>等进行了规范。</w:t>
      </w:r>
      <w:r>
        <w:rPr>
          <w:rFonts w:hint="eastAsia" w:ascii="仿宋_GB2312" w:hAnsi="Times New Roman" w:eastAsia="仿宋_GB2312"/>
          <w:spacing w:val="-6"/>
          <w:sz w:val="32"/>
          <w:szCs w:val="32"/>
        </w:rPr>
        <w:t>县教育体育局</w:t>
      </w:r>
      <w:r>
        <w:rPr>
          <w:rFonts w:hint="eastAsia" w:ascii="仿宋_GB2312" w:eastAsia="仿宋_GB2312"/>
          <w:bCs/>
          <w:kern w:val="44"/>
          <w:sz w:val="32"/>
          <w:szCs w:val="32"/>
          <w:lang w:val="en-US" w:eastAsia="zh-CN"/>
        </w:rPr>
        <w:t>制定了项目实施方案，包括项目建设必要性、建设内容和规模、实施方式、组织管理及相关保障措施等内容。施工单位提供了《液压一体升降柱施工方案》，明确了施工步骤、施工工艺及施工方法。</w:t>
      </w:r>
    </w:p>
    <w:p>
      <w:pPr>
        <w:spacing w:line="360" w:lineRule="auto"/>
        <w:ind w:firstLine="672" w:firstLineChars="210"/>
        <w:rPr>
          <w:rFonts w:ascii="仿宋_GB2312" w:hAnsi="仿宋" w:eastAsia="仿宋_GB2312"/>
          <w:sz w:val="32"/>
          <w:szCs w:val="32"/>
        </w:rPr>
      </w:pPr>
      <w:r>
        <w:rPr>
          <w:rFonts w:hint="eastAsia" w:ascii="仿宋_GB2312" w:hAnsi="仿宋" w:eastAsia="仿宋_GB2312"/>
          <w:sz w:val="32"/>
          <w:szCs w:val="32"/>
        </w:rPr>
        <w:t>评价认为，制度建设不够健全，缺少中小学安防管理制度、物防设施维护管理办法、合同管理、采购管理制度等</w:t>
      </w:r>
      <w:r>
        <w:rPr>
          <w:rFonts w:hint="eastAsia" w:ascii="仿宋_GB2312" w:hAnsi="仿宋" w:eastAsia="仿宋_GB2312"/>
          <w:sz w:val="32"/>
          <w:szCs w:val="32"/>
          <w:lang w:eastAsia="zh-CN"/>
        </w:rPr>
        <w:t>。</w:t>
      </w:r>
      <w:r>
        <w:rPr>
          <w:rFonts w:hint="eastAsia" w:ascii="仿宋_GB2312" w:eastAsia="仿宋_GB2312"/>
          <w:bCs/>
          <w:kern w:val="44"/>
          <w:sz w:val="32"/>
          <w:szCs w:val="32"/>
          <w:lang w:val="en-US" w:eastAsia="zh-CN"/>
        </w:rPr>
        <w:t>项目实施方案有效性、可操作性不足，未细化责任分工、协调工作机制、项目验收、风险防控、应急预案、后续运行维护措施等。</w:t>
      </w:r>
      <w:r>
        <w:rPr>
          <w:rFonts w:hint="eastAsia" w:ascii="仿宋_GB2312" w:hAnsi="仿宋" w:eastAsia="仿宋_GB2312"/>
          <w:sz w:val="32"/>
          <w:szCs w:val="32"/>
          <w:lang w:val="en-US" w:eastAsia="zh-CN"/>
        </w:rPr>
        <w:t>项目管理不够规范，</w:t>
      </w:r>
      <w:r>
        <w:rPr>
          <w:rFonts w:hint="eastAsia" w:ascii="仿宋_GB2312" w:eastAsia="仿宋_GB2312"/>
          <w:bCs/>
          <w:kern w:val="44"/>
          <w:sz w:val="32"/>
          <w:szCs w:val="32"/>
          <w:lang w:val="en-US" w:eastAsia="zh-CN"/>
        </w:rPr>
        <w:t>缺少过程监督支撑材料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未见</w:t>
      </w:r>
      <w:r>
        <w:rPr>
          <w:rFonts w:hint="eastAsia" w:ascii="仿宋_GB2312" w:hAnsi="仿宋" w:eastAsia="仿宋_GB2312"/>
          <w:sz w:val="32"/>
          <w:szCs w:val="32"/>
        </w:rPr>
        <w:t>防撞桩调试、安装记录、分项验收记录等。</w:t>
      </w:r>
    </w:p>
    <w:p>
      <w:pPr>
        <w:pStyle w:val="3"/>
        <w:spacing w:line="360" w:lineRule="auto"/>
        <w:ind w:firstLine="643"/>
        <w:rPr>
          <w:b/>
        </w:rPr>
      </w:pPr>
      <w:bookmarkStart w:id="57" w:name="_Toc426226425"/>
      <w:bookmarkStart w:id="58" w:name="_Toc426246483"/>
      <w:bookmarkStart w:id="59" w:name="_Toc25565"/>
      <w:r>
        <w:rPr>
          <w:rFonts w:hint="eastAsia"/>
          <w:b/>
        </w:rPr>
        <w:t>（三）项目产出及效果评价分析</w:t>
      </w:r>
      <w:bookmarkEnd w:id="55"/>
      <w:bookmarkEnd w:id="57"/>
      <w:bookmarkEnd w:id="58"/>
      <w:bookmarkEnd w:id="59"/>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1.项目经济性分析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为保障财政资金支出的有效性和经济性，</w:t>
      </w:r>
      <w:r>
        <w:rPr>
          <w:rFonts w:hint="eastAsia" w:ascii="仿宋_GB2312" w:eastAsia="仿宋_GB2312"/>
          <w:sz w:val="32"/>
          <w:szCs w:val="32"/>
          <w:lang w:eastAsia="zh-CN"/>
        </w:rPr>
        <w:t>县教育体育局</w:t>
      </w:r>
      <w:r>
        <w:rPr>
          <w:rFonts w:hint="eastAsia" w:ascii="仿宋_GB2312" w:eastAsia="仿宋_GB2312"/>
          <w:sz w:val="32"/>
          <w:szCs w:val="32"/>
        </w:rPr>
        <w:t>采用公开招投标的方式选择优质</w:t>
      </w:r>
      <w:r>
        <w:rPr>
          <w:rFonts w:hint="eastAsia" w:ascii="仿宋_GB2312" w:eastAsia="仿宋_GB2312"/>
          <w:sz w:val="32"/>
          <w:szCs w:val="32"/>
          <w:lang w:val="en-US" w:eastAsia="zh-CN"/>
        </w:rPr>
        <w:t>供货</w:t>
      </w:r>
      <w:r>
        <w:rPr>
          <w:rFonts w:hint="eastAsia" w:ascii="仿宋_GB2312" w:eastAsia="仿宋_GB2312"/>
          <w:sz w:val="32"/>
          <w:szCs w:val="32"/>
        </w:rPr>
        <w:t>商。按照《中华人民共和国</w:t>
      </w:r>
      <w:r>
        <w:rPr>
          <w:rFonts w:ascii="仿宋_GB2312" w:eastAsia="仿宋_GB2312"/>
          <w:sz w:val="32"/>
          <w:szCs w:val="32"/>
        </w:rPr>
        <w:t>招投标法</w:t>
      </w:r>
      <w:r>
        <w:rPr>
          <w:rFonts w:hint="eastAsia" w:ascii="仿宋_GB2312" w:eastAsia="仿宋_GB2312"/>
          <w:sz w:val="32"/>
          <w:szCs w:val="32"/>
        </w:rPr>
        <w:t>》、《中华人民共和国政府采购法实施条理》、《中华人民共和国财政部令第87号——政府采购货物和服务招标投标管理办法》的规定，严格执行招投标程序。</w:t>
      </w:r>
      <w:r>
        <w:rPr>
          <w:rFonts w:hint="eastAsia" w:ascii="仿宋_GB2312" w:eastAsia="仿宋_GB2312"/>
          <w:sz w:val="32"/>
          <w:szCs w:val="32"/>
          <w:lang w:val="en-US" w:eastAsia="zh-CN"/>
        </w:rPr>
        <w:t>通过</w:t>
      </w:r>
      <w:r>
        <w:rPr>
          <w:rFonts w:hint="eastAsia" w:ascii="仿宋_GB2312" w:eastAsia="仿宋_GB2312"/>
          <w:sz w:val="32"/>
          <w:szCs w:val="32"/>
        </w:rPr>
        <w:t>公开招投标</w:t>
      </w:r>
      <w:r>
        <w:rPr>
          <w:rFonts w:hint="eastAsia" w:ascii="仿宋_GB2312" w:eastAsia="仿宋_GB2312"/>
          <w:sz w:val="32"/>
          <w:szCs w:val="32"/>
          <w:lang w:val="en-US" w:eastAsia="zh-CN"/>
        </w:rPr>
        <w:t>确定中标价格</w:t>
      </w:r>
      <w:r>
        <w:rPr>
          <w:rFonts w:hint="eastAsia" w:ascii="仿宋_GB2312" w:eastAsia="仿宋_GB2312"/>
          <w:sz w:val="32"/>
          <w:szCs w:val="32"/>
        </w:rPr>
        <w:t>，</w:t>
      </w:r>
      <w:r>
        <w:rPr>
          <w:rFonts w:hint="eastAsia" w:ascii="仿宋_GB2312" w:eastAsia="仿宋_GB2312"/>
          <w:sz w:val="32"/>
          <w:szCs w:val="32"/>
          <w:lang w:val="en-US" w:eastAsia="zh-CN"/>
        </w:rPr>
        <w:t>与2019年预算申请相比，节约财政资金3.72万元</w:t>
      </w:r>
      <w:r>
        <w:rPr>
          <w:rFonts w:hint="eastAsia" w:ascii="仿宋_GB2312" w:eastAsia="仿宋_GB2312"/>
          <w:sz w:val="32"/>
          <w:szCs w:val="32"/>
        </w:rPr>
        <w:t>。</w:t>
      </w:r>
    </w:p>
    <w:p>
      <w:pPr>
        <w:spacing w:line="360" w:lineRule="auto"/>
        <w:ind w:firstLine="616" w:firstLineChars="200"/>
        <w:rPr>
          <w:rFonts w:ascii="仿宋_GB2312" w:hAnsi="Times New Roman" w:eastAsia="仿宋_GB2312"/>
          <w:spacing w:val="-6"/>
          <w:sz w:val="32"/>
          <w:szCs w:val="32"/>
        </w:rPr>
      </w:pPr>
      <w:r>
        <w:rPr>
          <w:rFonts w:hint="eastAsia" w:ascii="仿宋_GB2312" w:hAnsi="Times New Roman" w:eastAsia="仿宋_GB2312"/>
          <w:spacing w:val="-6"/>
          <w:sz w:val="32"/>
          <w:szCs w:val="32"/>
        </w:rPr>
        <w:t>评价认为，县教育体育局</w:t>
      </w:r>
      <w:r>
        <w:rPr>
          <w:rFonts w:hint="eastAsia" w:ascii="仿宋_GB2312" w:hAnsi="Times New Roman" w:eastAsia="仿宋_GB2312"/>
          <w:spacing w:val="-6"/>
          <w:sz w:val="32"/>
          <w:szCs w:val="32"/>
          <w:lang w:val="en-US" w:eastAsia="zh-CN"/>
        </w:rPr>
        <w:t>采取了成本控制措施</w:t>
      </w:r>
      <w:r>
        <w:rPr>
          <w:rFonts w:hint="eastAsia" w:ascii="仿宋_GB2312" w:hAnsi="Times New Roman" w:eastAsia="仿宋_GB2312"/>
          <w:spacing w:val="-6"/>
          <w:sz w:val="32"/>
          <w:szCs w:val="32"/>
        </w:rPr>
        <w:t>，</w:t>
      </w:r>
      <w:r>
        <w:rPr>
          <w:rFonts w:hint="eastAsia" w:ascii="仿宋_GB2312" w:hAnsi="Times New Roman" w:eastAsia="仿宋_GB2312"/>
          <w:spacing w:val="-6"/>
          <w:sz w:val="32"/>
          <w:szCs w:val="32"/>
          <w:lang w:val="en-US" w:eastAsia="zh-CN"/>
        </w:rPr>
        <w:t>通过公开招标确定中标金额，按照中标金额签订合同，项目具有一定的经济性</w:t>
      </w:r>
      <w:r>
        <w:rPr>
          <w:rFonts w:hint="eastAsia" w:ascii="仿宋_GB2312" w:hAnsi="Times New Roman" w:eastAsia="仿宋_GB2312"/>
          <w:spacing w:val="-6"/>
          <w:sz w:val="32"/>
          <w:szCs w:val="32"/>
        </w:rPr>
        <w:t>。</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2.项目效率性分析</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（1）项目实施进度</w:t>
      </w:r>
    </w:p>
    <w:p>
      <w:pPr>
        <w:spacing w:line="360" w:lineRule="auto"/>
        <w:ind w:firstLine="616" w:firstLineChars="200"/>
        <w:rPr>
          <w:rFonts w:hint="eastAsia" w:ascii="仿宋_GB2312" w:hAnsi="Times New Roman" w:eastAsia="仿宋_GB2312"/>
          <w:spacing w:val="-6"/>
          <w:sz w:val="32"/>
          <w:szCs w:val="32"/>
          <w:lang w:eastAsia="zh-CN"/>
        </w:rPr>
      </w:pPr>
      <w:r>
        <w:rPr>
          <w:rFonts w:hint="eastAsia" w:ascii="仿宋_GB2312" w:hAnsi="Times New Roman" w:eastAsia="仿宋_GB2312"/>
          <w:spacing w:val="-6"/>
          <w:sz w:val="32"/>
          <w:szCs w:val="32"/>
        </w:rPr>
        <w:t>该项目明确了进度安排，截至20</w:t>
      </w:r>
      <w:r>
        <w:rPr>
          <w:rFonts w:hint="eastAsia" w:ascii="仿宋_GB2312" w:hAnsi="Times New Roman" w:eastAsia="仿宋_GB2312"/>
          <w:spacing w:val="-6"/>
          <w:sz w:val="32"/>
          <w:szCs w:val="32"/>
          <w:lang w:val="en-US" w:eastAsia="zh-CN"/>
        </w:rPr>
        <w:t>20</w:t>
      </w:r>
      <w:r>
        <w:rPr>
          <w:rFonts w:hint="eastAsia" w:ascii="仿宋_GB2312" w:hAnsi="Times New Roman" w:eastAsia="仿宋_GB2312"/>
          <w:spacing w:val="-6"/>
          <w:sz w:val="32"/>
          <w:szCs w:val="32"/>
        </w:rPr>
        <w:t>年</w:t>
      </w:r>
      <w:r>
        <w:rPr>
          <w:rFonts w:hint="eastAsia" w:ascii="仿宋_GB2312" w:hAnsi="Times New Roman" w:eastAsia="仿宋_GB2312"/>
          <w:spacing w:val="-6"/>
          <w:sz w:val="32"/>
          <w:szCs w:val="32"/>
          <w:lang w:val="en-US" w:eastAsia="zh-CN"/>
        </w:rPr>
        <w:t>8</w:t>
      </w:r>
      <w:r>
        <w:rPr>
          <w:rFonts w:hint="eastAsia" w:ascii="仿宋_GB2312" w:hAnsi="Times New Roman" w:eastAsia="仿宋_GB2312"/>
          <w:spacing w:val="-6"/>
          <w:sz w:val="32"/>
          <w:szCs w:val="32"/>
        </w:rPr>
        <w:t>月31日，项目已按照年初计划基本完成。2019年8月—11月做好前期摸排调研工作；2019年12月组织公开招投标工作；2020年1月—5月做好项目产品的安装及验收工作</w:t>
      </w:r>
      <w:r>
        <w:rPr>
          <w:rFonts w:hint="eastAsia" w:ascii="仿宋_GB2312" w:hAnsi="Times New Roman" w:eastAsia="仿宋_GB2312"/>
          <w:spacing w:val="-6"/>
          <w:sz w:val="32"/>
          <w:szCs w:val="32"/>
          <w:lang w:eastAsia="zh-CN"/>
        </w:rPr>
        <w:t>。</w:t>
      </w:r>
    </w:p>
    <w:p>
      <w:pPr>
        <w:spacing w:line="360" w:lineRule="auto"/>
        <w:ind w:firstLine="640" w:firstLineChars="200"/>
        <w:rPr>
          <w:rFonts w:hint="eastAsia" w:ascii="仿宋_GB2312" w:hAnsi="Times New Roman" w:eastAsia="仿宋_GB2312"/>
          <w:spacing w:val="-6"/>
          <w:sz w:val="32"/>
          <w:szCs w:val="32"/>
          <w:lang w:eastAsia="zh-CN"/>
        </w:rPr>
      </w:pPr>
      <w:r>
        <w:rPr>
          <w:rFonts w:hint="eastAsia" w:ascii="仿宋_GB2312" w:hAnsi="仿宋" w:eastAsia="仿宋_GB2312" w:cs="仿宋"/>
          <w:sz w:val="32"/>
          <w:szCs w:val="32"/>
        </w:rPr>
        <w:t>评价认为，该项目能够按照项目实施期间执行，按照预期目标完成了项目计划内容，各阶段完成的工作内容与项目计划时间阶段基本相符。</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（2）项目完成质量</w:t>
      </w:r>
    </w:p>
    <w:p>
      <w:pPr>
        <w:spacing w:line="360" w:lineRule="auto"/>
        <w:ind w:firstLine="640" w:firstLineChars="200"/>
        <w:rPr>
          <w:rFonts w:hint="eastAsia" w:ascii="仿宋_GB2312" w:hAnsi="仿宋" w:eastAsia="仿宋_GB2312"/>
          <w:kern w:val="10"/>
          <w:sz w:val="32"/>
          <w:szCs w:val="32"/>
        </w:rPr>
      </w:pPr>
      <w:r>
        <w:rPr>
          <w:rFonts w:hint="eastAsia" w:ascii="仿宋_GB2312" w:hAnsi="仿宋" w:eastAsia="仿宋_GB2312"/>
          <w:kern w:val="10"/>
          <w:sz w:val="32"/>
          <w:szCs w:val="32"/>
        </w:rPr>
        <w:t>该项目立项的政策依据充分，项目实施过程有明确的工作目标，通过项目的实施能保护在校师生的人身财产安全的同时，给予在校师生的安全和谐的校园环境有效保障学生的安全，并提高校园安保的管理水平</w:t>
      </w:r>
      <w:r>
        <w:rPr>
          <w:rFonts w:hint="eastAsia" w:ascii="仿宋_GB2312" w:hAnsi="仿宋" w:eastAsia="仿宋_GB2312"/>
          <w:kern w:val="10"/>
          <w:sz w:val="32"/>
          <w:szCs w:val="32"/>
          <w:lang w:eastAsia="zh-CN"/>
        </w:rPr>
        <w:t>，</w:t>
      </w:r>
      <w:r>
        <w:rPr>
          <w:rFonts w:hint="eastAsia" w:ascii="仿宋_GB2312" w:hAnsi="仿宋" w:eastAsia="仿宋_GB2312"/>
          <w:kern w:val="10"/>
          <w:sz w:val="32"/>
          <w:szCs w:val="32"/>
          <w:lang w:val="en-US" w:eastAsia="zh-CN"/>
        </w:rPr>
        <w:t>并通过完验收程序保障项目完成质量</w:t>
      </w:r>
      <w:r>
        <w:rPr>
          <w:rFonts w:hint="eastAsia" w:ascii="仿宋_GB2312" w:hAnsi="仿宋" w:eastAsia="仿宋_GB2312"/>
          <w:kern w:val="10"/>
          <w:sz w:val="32"/>
          <w:szCs w:val="32"/>
        </w:rPr>
        <w:t>。</w:t>
      </w:r>
    </w:p>
    <w:p>
      <w:pPr>
        <w:spacing w:line="360" w:lineRule="auto"/>
        <w:ind w:firstLine="640" w:firstLineChars="200"/>
        <w:rPr>
          <w:rFonts w:ascii="仿宋_GB2312" w:hAnsi="仿宋_GB2312" w:eastAsia="仿宋_GB2312"/>
          <w:sz w:val="32"/>
          <w:szCs w:val="32"/>
        </w:rPr>
      </w:pPr>
      <w:r>
        <w:rPr>
          <w:rFonts w:hint="eastAsia" w:ascii="仿宋_GB2312" w:hAnsi="仿宋" w:eastAsia="仿宋_GB2312"/>
          <w:kern w:val="10"/>
          <w:sz w:val="32"/>
          <w:szCs w:val="32"/>
        </w:rPr>
        <w:t>评价认为，项目</w:t>
      </w:r>
      <w:r>
        <w:rPr>
          <w:rFonts w:hint="eastAsia" w:ascii="仿宋_GB2312" w:hAnsi="仿宋" w:eastAsia="仿宋_GB2312"/>
          <w:kern w:val="10"/>
          <w:sz w:val="32"/>
          <w:szCs w:val="32"/>
          <w:lang w:val="en-US" w:eastAsia="zh-CN"/>
        </w:rPr>
        <w:t>执行了验收程序，验收合格</w:t>
      </w:r>
      <w:r>
        <w:rPr>
          <w:rFonts w:hint="eastAsia" w:ascii="仿宋_GB2312" w:hAnsi="宋体" w:eastAsia="仿宋_GB2312"/>
          <w:sz w:val="32"/>
          <w:szCs w:val="32"/>
        </w:rPr>
        <w:t>。</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3.项目效益性分析</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（1）项目预期目标完成情况</w:t>
      </w:r>
    </w:p>
    <w:p>
      <w:pPr>
        <w:spacing w:line="360" w:lineRule="auto"/>
        <w:ind w:firstLine="640" w:firstLineChars="200"/>
        <w:rPr>
          <w:rFonts w:ascii="仿宋_GB2312" w:hAnsi="Times New Roman" w:eastAsia="仿宋_GB2312" w:cs="仿宋_GB2312"/>
          <w:sz w:val="32"/>
          <w:szCs w:val="32"/>
        </w:rPr>
      </w:pPr>
      <w:r>
        <w:rPr>
          <w:rFonts w:hint="eastAsia" w:ascii="仿宋_GB2312" w:hAnsi="仿宋" w:eastAsia="仿宋_GB2312"/>
          <w:sz w:val="32"/>
          <w:szCs w:val="32"/>
        </w:rPr>
        <w:t>该项目基本按照预期计划完成绩效目标，截至20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月，按照合同进度要求,完成全县27所</w:t>
      </w:r>
      <w:r>
        <w:rPr>
          <w:rFonts w:hint="eastAsia" w:ascii="仿宋_GB2312" w:hAnsi="仿宋" w:eastAsia="仿宋_GB2312"/>
          <w:sz w:val="32"/>
          <w:szCs w:val="32"/>
          <w:lang w:val="en-US" w:eastAsia="zh-CN"/>
        </w:rPr>
        <w:t>中</w:t>
      </w:r>
      <w:r>
        <w:rPr>
          <w:rFonts w:hint="eastAsia" w:ascii="仿宋_GB2312" w:hAnsi="仿宋" w:eastAsia="仿宋_GB2312"/>
          <w:sz w:val="32"/>
          <w:szCs w:val="32"/>
        </w:rPr>
        <w:t>小学、4所幼儿园安装152根升降柱</w:t>
      </w:r>
      <w:r>
        <w:rPr>
          <w:rFonts w:hint="eastAsia" w:ascii="仿宋_GB2312" w:hAnsi="仿宋" w:eastAsia="仿宋_GB2312"/>
          <w:sz w:val="32"/>
          <w:szCs w:val="32"/>
          <w:lang w:val="en-US" w:eastAsia="zh-CN"/>
        </w:rPr>
        <w:t>工作</w:t>
      </w:r>
      <w:r>
        <w:rPr>
          <w:rFonts w:hint="eastAsia" w:ascii="仿宋_GB2312" w:hAnsi="仿宋" w:eastAsia="仿宋_GB2312"/>
          <w:sz w:val="32"/>
          <w:szCs w:val="32"/>
        </w:rPr>
        <w:t>。</w:t>
      </w:r>
    </w:p>
    <w:p>
      <w:pPr>
        <w:spacing w:line="360" w:lineRule="auto"/>
        <w:ind w:firstLine="640" w:firstLineChars="200"/>
        <w:rPr>
          <w:rFonts w:ascii="仿宋_GB2312" w:eastAsia="仿宋_GB2312"/>
          <w:bCs/>
          <w:kern w:val="44"/>
          <w:sz w:val="32"/>
          <w:szCs w:val="32"/>
        </w:rPr>
      </w:pPr>
      <w:r>
        <w:rPr>
          <w:rFonts w:hint="eastAsia" w:ascii="仿宋_GB2312" w:hAnsi="仿宋_GB2312" w:eastAsia="仿宋_GB2312"/>
          <w:sz w:val="32"/>
          <w:szCs w:val="32"/>
        </w:rPr>
        <w:t>（2）项目实施对社会的影响</w:t>
      </w:r>
    </w:p>
    <w:p>
      <w:pPr>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通过项目实施，门前安全区域扩大，</w:t>
      </w:r>
      <w:r>
        <w:rPr>
          <w:rFonts w:hint="eastAsia" w:ascii="仿宋_GB2312" w:hAnsi="仿宋" w:eastAsia="仿宋_GB2312"/>
          <w:sz w:val="32"/>
          <w:szCs w:val="32"/>
        </w:rPr>
        <w:t>能够保护在校师生的人身财产安全的同时，有效防止突发的交通事故</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通过物防设施的建设，推进构建校园安全风险防控制度的建设，有效解决群众关心、社会关注的校园安全问题。</w:t>
      </w:r>
    </w:p>
    <w:p>
      <w:pPr>
        <w:spacing w:line="360" w:lineRule="auto"/>
        <w:ind w:firstLine="640" w:firstLineChars="200"/>
        <w:rPr>
          <w:rFonts w:ascii="仿宋_GB2312" w:eastAsia="仿宋_GB2312"/>
          <w:bCs/>
          <w:sz w:val="32"/>
          <w:szCs w:val="32"/>
        </w:rPr>
      </w:pPr>
      <w:r>
        <w:rPr>
          <w:rFonts w:hint="eastAsia" w:ascii="仿宋_GB2312" w:hAnsi="仿宋_GB2312" w:eastAsia="仿宋_GB2312"/>
          <w:sz w:val="32"/>
          <w:szCs w:val="32"/>
        </w:rPr>
        <w:t>（3）</w:t>
      </w:r>
      <w:r>
        <w:rPr>
          <w:rFonts w:hint="eastAsia" w:ascii="仿宋_GB2312" w:eastAsia="仿宋_GB2312"/>
          <w:bCs/>
          <w:sz w:val="32"/>
          <w:szCs w:val="32"/>
        </w:rPr>
        <w:t>项目实施对可持续发展的影响</w:t>
      </w:r>
    </w:p>
    <w:p>
      <w:pPr>
        <w:spacing w:line="360" w:lineRule="auto"/>
        <w:ind w:firstLine="640" w:firstLineChars="200"/>
        <w:rPr>
          <w:rFonts w:ascii="仿宋_GB2312" w:hAnsi="仿宋" w:eastAsia="仿宋_GB2312"/>
          <w:color w:val="000000"/>
          <w:sz w:val="32"/>
          <w:szCs w:val="32"/>
        </w:rPr>
      </w:pPr>
      <w:r>
        <w:rPr>
          <w:rFonts w:hint="eastAsia" w:ascii="仿宋_GB2312" w:hAnsi="仿宋_GB2312" w:eastAsia="仿宋_GB2312"/>
          <w:sz w:val="32"/>
          <w:szCs w:val="32"/>
        </w:rPr>
        <w:t>通过项目实施，</w:t>
      </w:r>
      <w:r>
        <w:rPr>
          <w:rFonts w:hint="eastAsia" w:ascii="仿宋_GB2312" w:hAnsi="仿宋_GB2312" w:eastAsia="仿宋_GB2312"/>
          <w:sz w:val="32"/>
          <w:szCs w:val="32"/>
          <w:lang w:val="en-US" w:eastAsia="zh-CN"/>
        </w:rPr>
        <w:t>给予</w:t>
      </w:r>
      <w:r>
        <w:rPr>
          <w:rFonts w:hint="eastAsia" w:ascii="仿宋_GB2312" w:hAnsi="仿宋" w:eastAsia="仿宋_GB2312"/>
          <w:sz w:val="32"/>
          <w:szCs w:val="32"/>
        </w:rPr>
        <w:t>在校师生的安全和谐的校园环境</w:t>
      </w:r>
      <w:r>
        <w:rPr>
          <w:rFonts w:hint="eastAsia" w:ascii="仿宋_GB2312" w:hAnsi="仿宋" w:eastAsia="仿宋_GB2312"/>
          <w:sz w:val="32"/>
          <w:szCs w:val="32"/>
          <w:lang w:eastAsia="zh-CN"/>
        </w:rPr>
        <w:t>，</w:t>
      </w:r>
      <w:r>
        <w:rPr>
          <w:rFonts w:hint="eastAsia" w:ascii="仿宋_GB2312" w:hAnsi="仿宋" w:eastAsia="仿宋_GB2312"/>
          <w:sz w:val="32"/>
          <w:szCs w:val="32"/>
        </w:rPr>
        <w:t>有效保障学生的安全，提高校园安保的管理水平。</w:t>
      </w:r>
      <w:r>
        <w:rPr>
          <w:rFonts w:hint="eastAsia" w:ascii="仿宋_GB2312" w:hAnsi="仿宋" w:eastAsia="仿宋_GB2312"/>
          <w:sz w:val="32"/>
          <w:szCs w:val="32"/>
          <w:lang w:val="en-US" w:eastAsia="zh-CN"/>
        </w:rPr>
        <w:t>通过对设备的运维维护，持续为校园门前交通环境安全提供保障。</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（4）服务对象满意度</w:t>
      </w:r>
    </w:p>
    <w:p>
      <w:pPr>
        <w:spacing w:line="360" w:lineRule="auto"/>
        <w:ind w:firstLine="640" w:firstLineChars="200"/>
        <w:rPr>
          <w:rFonts w:ascii="仿宋_GB2312" w:hAnsi="仿宋" w:eastAsia="仿宋_GB2312"/>
          <w:bCs/>
          <w:sz w:val="32"/>
          <w:szCs w:val="32"/>
        </w:rPr>
      </w:pPr>
      <w:bookmarkStart w:id="60" w:name="_Toc365968758"/>
      <w:r>
        <w:rPr>
          <w:rFonts w:hint="eastAsia" w:ascii="仿宋_GB2312" w:hAnsi="仿宋" w:eastAsia="仿宋_GB2312"/>
          <w:bCs/>
          <w:sz w:val="32"/>
          <w:szCs w:val="32"/>
        </w:rPr>
        <w:t>通过项目实施，全县31所中小学幼儿园对于此次智能升降柱的安装及使用，给予了肯定</w:t>
      </w:r>
      <w:r>
        <w:rPr>
          <w:rFonts w:hint="eastAsia" w:ascii="仿宋_GB2312" w:hAnsi="仿宋" w:eastAsia="仿宋_GB2312"/>
          <w:bCs/>
          <w:sz w:val="32"/>
          <w:szCs w:val="32"/>
          <w:lang w:eastAsia="zh-CN"/>
        </w:rPr>
        <w:t>。</w:t>
      </w:r>
      <w:r>
        <w:rPr>
          <w:rFonts w:hint="eastAsia" w:ascii="仿宋_GB2312" w:hAnsi="仿宋" w:eastAsia="仿宋_GB2312"/>
          <w:bCs/>
          <w:sz w:val="32"/>
          <w:szCs w:val="32"/>
        </w:rPr>
        <w:t>但服务对象满意度调查汇总分析不够，服务对象满意度调查只有学校的31份问卷，未进行问卷分析。缺少家长、学生对于项目实施反馈的意见。</w:t>
      </w:r>
    </w:p>
    <w:p>
      <w:pPr>
        <w:pStyle w:val="2"/>
        <w:spacing w:line="360" w:lineRule="auto"/>
      </w:pPr>
      <w:bookmarkStart w:id="61" w:name="_Toc12984"/>
      <w:bookmarkStart w:id="62" w:name="_Toc426226426"/>
      <w:bookmarkStart w:id="63" w:name="_Toc426246484"/>
      <w:r>
        <w:rPr>
          <w:rFonts w:hint="eastAsia"/>
        </w:rPr>
        <w:t>四、评价结论</w:t>
      </w:r>
      <w:bookmarkEnd w:id="60"/>
      <w:bookmarkEnd w:id="61"/>
      <w:bookmarkEnd w:id="62"/>
      <w:bookmarkEnd w:id="63"/>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经评价，“中小学安防建设项目资金”项目综合评价得分</w:t>
      </w:r>
      <w:r>
        <w:rPr>
          <w:rFonts w:hint="eastAsia" w:ascii="仿宋_GB2312" w:hAnsi="仿宋" w:eastAsia="仿宋_GB2312"/>
          <w:bCs/>
          <w:sz w:val="32"/>
          <w:szCs w:val="32"/>
          <w:lang w:val="en-US" w:eastAsia="zh-CN"/>
        </w:rPr>
        <w:t>87.54</w:t>
      </w:r>
      <w:r>
        <w:rPr>
          <w:rFonts w:hint="eastAsia" w:ascii="仿宋_GB2312" w:hAnsi="仿宋" w:eastAsia="仿宋_GB2312"/>
          <w:bCs/>
          <w:sz w:val="32"/>
          <w:szCs w:val="32"/>
        </w:rPr>
        <w:t>分，其中，项目</w:t>
      </w:r>
      <w:r>
        <w:rPr>
          <w:rFonts w:hint="eastAsia" w:ascii="仿宋_GB2312" w:hAnsi="仿宋" w:eastAsia="仿宋_GB2312"/>
          <w:bCs/>
          <w:sz w:val="32"/>
          <w:szCs w:val="32"/>
          <w:lang w:val="en-US" w:eastAsia="zh-CN"/>
        </w:rPr>
        <w:t>决策</w:t>
      </w:r>
      <w:r>
        <w:rPr>
          <w:rFonts w:hint="eastAsia" w:ascii="仿宋_GB2312" w:hAnsi="仿宋" w:eastAsia="仿宋_GB2312"/>
          <w:bCs/>
          <w:sz w:val="32"/>
          <w:szCs w:val="32"/>
        </w:rPr>
        <w:t>13.</w:t>
      </w:r>
      <w:r>
        <w:rPr>
          <w:rFonts w:hint="eastAsia" w:ascii="仿宋_GB2312" w:hAnsi="仿宋" w:eastAsia="仿宋_GB2312"/>
          <w:bCs/>
          <w:sz w:val="32"/>
          <w:szCs w:val="32"/>
          <w:lang w:val="en-US" w:eastAsia="zh-CN"/>
        </w:rPr>
        <w:t>04</w:t>
      </w:r>
      <w:r>
        <w:rPr>
          <w:rFonts w:hint="eastAsia" w:ascii="仿宋_GB2312" w:hAnsi="仿宋" w:eastAsia="仿宋_GB2312"/>
          <w:bCs/>
          <w:sz w:val="32"/>
          <w:szCs w:val="32"/>
        </w:rPr>
        <w:t>分，项目</w:t>
      </w:r>
      <w:r>
        <w:rPr>
          <w:rFonts w:hint="eastAsia" w:ascii="仿宋_GB2312" w:hAnsi="仿宋" w:eastAsia="仿宋_GB2312"/>
          <w:bCs/>
          <w:sz w:val="32"/>
          <w:szCs w:val="32"/>
          <w:lang w:val="en-US" w:eastAsia="zh-CN"/>
        </w:rPr>
        <w:t>管理26.34</w:t>
      </w:r>
      <w:r>
        <w:rPr>
          <w:rFonts w:hint="eastAsia" w:ascii="仿宋_GB2312" w:hAnsi="仿宋" w:eastAsia="仿宋_GB2312"/>
          <w:bCs/>
          <w:sz w:val="32"/>
          <w:szCs w:val="32"/>
        </w:rPr>
        <w:t>分，项目</w:t>
      </w:r>
      <w:r>
        <w:rPr>
          <w:rFonts w:hint="eastAsia" w:ascii="仿宋_GB2312" w:hAnsi="仿宋" w:eastAsia="仿宋_GB2312"/>
          <w:bCs/>
          <w:sz w:val="32"/>
          <w:szCs w:val="32"/>
          <w:lang w:val="en-US" w:eastAsia="zh-CN"/>
        </w:rPr>
        <w:t>绩效48.16</w:t>
      </w:r>
      <w:r>
        <w:rPr>
          <w:rFonts w:hint="eastAsia" w:ascii="仿宋_GB2312" w:hAnsi="仿宋" w:eastAsia="仿宋_GB2312"/>
          <w:bCs/>
          <w:sz w:val="32"/>
          <w:szCs w:val="32"/>
        </w:rPr>
        <w:t>分，项目绩效评定结论为“</w:t>
      </w:r>
      <w:r>
        <w:rPr>
          <w:rFonts w:hint="eastAsia" w:ascii="仿宋_GB2312" w:hAnsi="仿宋" w:eastAsia="仿宋_GB2312"/>
          <w:bCs/>
          <w:sz w:val="32"/>
          <w:szCs w:val="32"/>
          <w:lang w:val="en-US" w:eastAsia="zh-CN"/>
        </w:rPr>
        <w:t>良</w:t>
      </w:r>
      <w:bookmarkStart w:id="80" w:name="_GoBack"/>
      <w:bookmarkEnd w:id="80"/>
      <w:r>
        <w:rPr>
          <w:rFonts w:hint="eastAsia" w:ascii="仿宋_GB2312" w:hAnsi="仿宋" w:eastAsia="仿宋_GB2312"/>
          <w:bCs/>
          <w:sz w:val="32"/>
          <w:szCs w:val="32"/>
        </w:rPr>
        <w:t>”。</w:t>
      </w:r>
    </w:p>
    <w:p>
      <w:pPr>
        <w:pStyle w:val="2"/>
        <w:spacing w:line="360" w:lineRule="auto"/>
        <w:ind w:left="0" w:firstLine="643" w:firstLineChars="200"/>
      </w:pPr>
      <w:bookmarkStart w:id="64" w:name="_Toc5109"/>
      <w:bookmarkStart w:id="65" w:name="_Toc426246485"/>
      <w:bookmarkStart w:id="66" w:name="_Toc426226427"/>
      <w:bookmarkStart w:id="67" w:name="_Toc365968759"/>
      <w:r>
        <w:rPr>
          <w:rFonts w:hint="eastAsia"/>
        </w:rPr>
        <w:t>五、问题</w:t>
      </w:r>
      <w:bookmarkEnd w:id="64"/>
      <w:bookmarkEnd w:id="65"/>
      <w:bookmarkEnd w:id="66"/>
      <w:bookmarkEnd w:id="67"/>
      <w:bookmarkStart w:id="68" w:name="_Toc169183194"/>
    </w:p>
    <w:p>
      <w:pPr>
        <w:spacing w:line="360" w:lineRule="auto"/>
        <w:ind w:left="2" w:firstLine="639" w:firstLineChars="199"/>
        <w:rPr>
          <w:rFonts w:hint="default" w:ascii="仿宋_GB2312" w:eastAsia="仿宋_GB2312"/>
          <w:b/>
          <w:kern w:val="10"/>
          <w:sz w:val="32"/>
          <w:szCs w:val="32"/>
          <w:lang w:val="en-US" w:eastAsia="zh-CN"/>
        </w:rPr>
      </w:pPr>
      <w:bookmarkStart w:id="69" w:name="_Toc426226429"/>
      <w:r>
        <w:rPr>
          <w:rFonts w:hint="eastAsia" w:ascii="仿宋_GB2312" w:eastAsia="仿宋_GB2312"/>
          <w:b/>
          <w:kern w:val="10"/>
          <w:sz w:val="32"/>
          <w:szCs w:val="32"/>
        </w:rPr>
        <w:t>（一）</w:t>
      </w:r>
      <w:r>
        <w:rPr>
          <w:rFonts w:hint="eastAsia" w:ascii="仿宋_GB2312" w:eastAsia="仿宋_GB2312"/>
          <w:b/>
          <w:kern w:val="10"/>
          <w:sz w:val="32"/>
          <w:szCs w:val="32"/>
          <w:lang w:val="en-US" w:eastAsia="zh-CN"/>
        </w:rPr>
        <w:t>未填报项目绩效目标申报表，</w:t>
      </w:r>
      <w:r>
        <w:rPr>
          <w:rFonts w:hint="eastAsia" w:ascii="仿宋_GB2312" w:eastAsia="仿宋_GB2312"/>
          <w:b/>
          <w:kern w:val="10"/>
          <w:sz w:val="32"/>
          <w:szCs w:val="32"/>
        </w:rPr>
        <w:t>绩效目标</w:t>
      </w:r>
      <w:r>
        <w:rPr>
          <w:rFonts w:hint="eastAsia" w:ascii="仿宋_GB2312" w:eastAsia="仿宋_GB2312"/>
          <w:b/>
          <w:kern w:val="10"/>
          <w:sz w:val="32"/>
          <w:szCs w:val="32"/>
          <w:lang w:val="en-US" w:eastAsia="zh-CN"/>
        </w:rPr>
        <w:t>不够明确、不够细化。</w:t>
      </w:r>
    </w:p>
    <w:p>
      <w:pPr>
        <w:spacing w:line="360" w:lineRule="auto"/>
        <w:ind w:firstLine="672" w:firstLineChars="210"/>
        <w:rPr>
          <w:rFonts w:ascii="仿宋_GB2312" w:eastAsia="仿宋_GB2312"/>
          <w:sz w:val="32"/>
          <w:szCs w:val="32"/>
        </w:rPr>
      </w:pPr>
      <w:r>
        <w:rPr>
          <w:rFonts w:hint="eastAsia" w:ascii="仿宋_GB2312" w:eastAsia="仿宋_GB2312"/>
          <w:sz w:val="32"/>
          <w:szCs w:val="32"/>
          <w:lang w:val="en-US" w:eastAsia="zh-CN"/>
        </w:rPr>
        <w:t>未</w:t>
      </w:r>
      <w:r>
        <w:rPr>
          <w:rFonts w:hint="eastAsia" w:ascii="仿宋_GB2312" w:eastAsia="仿宋_GB2312"/>
          <w:sz w:val="32"/>
          <w:szCs w:val="32"/>
        </w:rPr>
        <w:t>提供</w:t>
      </w:r>
      <w:r>
        <w:rPr>
          <w:rFonts w:hint="eastAsia" w:ascii="仿宋_GB2312" w:eastAsia="仿宋_GB2312"/>
          <w:sz w:val="32"/>
          <w:szCs w:val="32"/>
          <w:lang w:val="en-US" w:eastAsia="zh-CN"/>
        </w:rPr>
        <w:t>该项目的</w:t>
      </w:r>
      <w:r>
        <w:rPr>
          <w:rFonts w:hint="eastAsia" w:ascii="仿宋_GB2312" w:eastAsia="仿宋_GB2312"/>
          <w:sz w:val="32"/>
          <w:szCs w:val="32"/>
        </w:rPr>
        <w:t>绩效目标申报表，</w:t>
      </w:r>
      <w:r>
        <w:rPr>
          <w:rFonts w:hint="eastAsia" w:ascii="仿宋_GB2312" w:eastAsia="仿宋_GB2312"/>
          <w:sz w:val="32"/>
          <w:szCs w:val="32"/>
          <w:lang w:val="en-US" w:eastAsia="zh-CN"/>
        </w:rPr>
        <w:t>仅从绩效报告的</w:t>
      </w:r>
      <w:r>
        <w:rPr>
          <w:rFonts w:hint="eastAsia" w:ascii="仿宋_GB2312" w:eastAsia="仿宋_GB2312"/>
          <w:sz w:val="32"/>
          <w:szCs w:val="32"/>
        </w:rPr>
        <w:t>绩效目标</w:t>
      </w:r>
      <w:r>
        <w:rPr>
          <w:rFonts w:hint="eastAsia" w:ascii="仿宋_GB2312" w:eastAsia="仿宋_GB2312"/>
          <w:sz w:val="32"/>
          <w:szCs w:val="32"/>
          <w:lang w:val="en-US" w:eastAsia="zh-CN"/>
        </w:rPr>
        <w:t>进行分析评价，绩效总目标未明确项目的“绩”和“效”，阶段性指标不够细化，未细化</w:t>
      </w:r>
      <w:r>
        <w:rPr>
          <w:rFonts w:hint="eastAsia" w:ascii="仿宋_GB2312" w:hAnsi="仿宋_GB2312" w:eastAsia="仿宋_GB2312"/>
          <w:sz w:val="32"/>
          <w:szCs w:val="32"/>
          <w:lang w:val="en-US" w:eastAsia="zh-CN"/>
        </w:rPr>
        <w:t>安装产品的数量</w:t>
      </w:r>
      <w:r>
        <w:rPr>
          <w:rFonts w:hint="eastAsia" w:ascii="仿宋_GB2312" w:eastAsia="仿宋_GB2312"/>
          <w:sz w:val="32"/>
          <w:szCs w:val="32"/>
          <w:lang w:val="en-US" w:eastAsia="zh-CN"/>
        </w:rPr>
        <w:t>、验收标准</w:t>
      </w:r>
      <w:r>
        <w:rPr>
          <w:rFonts w:hint="eastAsia" w:ascii="仿宋_GB2312" w:hAnsi="仿宋_GB2312" w:eastAsia="仿宋_GB2312"/>
          <w:sz w:val="32"/>
          <w:szCs w:val="32"/>
        </w:rPr>
        <w:t>。</w:t>
      </w:r>
    </w:p>
    <w:bookmarkEnd w:id="69"/>
    <w:p>
      <w:pPr>
        <w:numPr>
          <w:ilvl w:val="0"/>
          <w:numId w:val="2"/>
        </w:numPr>
        <w:spacing w:line="360" w:lineRule="auto"/>
        <w:ind w:left="2" w:firstLine="639" w:firstLineChars="199"/>
        <w:rPr>
          <w:rFonts w:hint="eastAsia" w:ascii="仿宋_GB2312" w:eastAsia="仿宋_GB2312"/>
          <w:b/>
          <w:kern w:val="10"/>
          <w:sz w:val="32"/>
          <w:szCs w:val="32"/>
          <w:lang w:val="en-US" w:eastAsia="zh-CN"/>
        </w:rPr>
      </w:pPr>
      <w:r>
        <w:rPr>
          <w:rFonts w:hint="eastAsia" w:ascii="仿宋_GB2312" w:eastAsia="仿宋_GB2312"/>
          <w:b/>
          <w:kern w:val="10"/>
          <w:sz w:val="32"/>
          <w:szCs w:val="32"/>
          <w:lang w:val="en-US" w:eastAsia="zh-CN"/>
        </w:rPr>
        <w:t>项目预算编制依据不够充分</w:t>
      </w:r>
    </w:p>
    <w:p>
      <w:pPr>
        <w:spacing w:line="360" w:lineRule="auto"/>
        <w:ind w:firstLine="672" w:firstLineChars="210"/>
        <w:rPr>
          <w:rFonts w:hint="eastAsia" w:ascii="仿宋_GB2312" w:hAnsi="Calibri" w:eastAsia="仿宋_GB2312"/>
          <w:b w:val="0"/>
          <w:sz w:val="32"/>
          <w:szCs w:val="32"/>
        </w:rPr>
      </w:pPr>
      <w:r>
        <w:rPr>
          <w:rFonts w:hint="eastAsia" w:ascii="仿宋_GB2312" w:eastAsia="仿宋_GB2312"/>
          <w:b w:val="0"/>
          <w:kern w:val="2"/>
          <w:sz w:val="32"/>
          <w:szCs w:val="32"/>
        </w:rPr>
        <w:t>项目预算编制</w:t>
      </w:r>
      <w:r>
        <w:rPr>
          <w:rFonts w:hint="eastAsia" w:ascii="仿宋_GB2312" w:eastAsia="仿宋_GB2312"/>
          <w:b w:val="0"/>
          <w:kern w:val="2"/>
          <w:sz w:val="32"/>
          <w:szCs w:val="32"/>
          <w:lang w:val="en-US" w:eastAsia="zh-CN"/>
        </w:rPr>
        <w:t>依据不够充分，</w:t>
      </w:r>
      <w:r>
        <w:rPr>
          <w:rFonts w:hint="eastAsia" w:ascii="仿宋_GB2312" w:eastAsia="仿宋_GB2312"/>
          <w:b w:val="0"/>
          <w:kern w:val="2"/>
          <w:sz w:val="32"/>
          <w:szCs w:val="32"/>
        </w:rPr>
        <w:t>缺少专家论证意见</w:t>
      </w:r>
      <w:r>
        <w:rPr>
          <w:rFonts w:hint="eastAsia" w:ascii="仿宋_GB2312" w:eastAsia="仿宋_GB2312"/>
          <w:kern w:val="2"/>
          <w:sz w:val="32"/>
          <w:szCs w:val="32"/>
        </w:rPr>
        <w:t>、预算评审报告等</w:t>
      </w:r>
      <w:r>
        <w:rPr>
          <w:rFonts w:hint="eastAsia" w:ascii="仿宋_GB2312" w:eastAsia="仿宋_GB2312"/>
          <w:kern w:val="0"/>
          <w:sz w:val="32"/>
          <w:szCs w:val="32"/>
          <w:lang w:val="en-US" w:eastAsia="zh-CN"/>
        </w:rPr>
        <w:t>支撑</w:t>
      </w:r>
      <w:r>
        <w:rPr>
          <w:rFonts w:hint="eastAsia" w:ascii="仿宋_GB2312" w:eastAsia="仿宋_GB2312"/>
          <w:kern w:val="2"/>
          <w:sz w:val="32"/>
          <w:szCs w:val="32"/>
        </w:rPr>
        <w:t>材料。</w:t>
      </w:r>
    </w:p>
    <w:p>
      <w:pPr>
        <w:numPr>
          <w:ilvl w:val="0"/>
          <w:numId w:val="2"/>
        </w:numPr>
        <w:spacing w:line="360" w:lineRule="auto"/>
        <w:ind w:left="2" w:firstLine="639" w:firstLineChars="199"/>
        <w:rPr>
          <w:rFonts w:hint="eastAsia" w:ascii="仿宋_GB2312" w:hAnsi="Calibri" w:eastAsia="仿宋_GB2312"/>
          <w:b/>
          <w:kern w:val="10"/>
          <w:sz w:val="32"/>
          <w:szCs w:val="32"/>
          <w:lang w:val="en-US" w:eastAsia="zh-CN"/>
        </w:rPr>
      </w:pPr>
      <w:r>
        <w:rPr>
          <w:rFonts w:hint="eastAsia" w:ascii="仿宋_GB2312" w:hAnsi="Calibri" w:eastAsia="仿宋_GB2312"/>
          <w:b/>
          <w:kern w:val="10"/>
          <w:sz w:val="32"/>
          <w:szCs w:val="32"/>
          <w:lang w:val="en-US" w:eastAsia="zh-CN"/>
        </w:rPr>
        <w:t>项目管理制度不够健全，管理的规范性有待加强</w:t>
      </w:r>
    </w:p>
    <w:p>
      <w:pPr>
        <w:spacing w:line="360" w:lineRule="auto"/>
        <w:ind w:firstLine="640" w:firstLineChars="200"/>
        <w:rPr>
          <w:rFonts w:hint="eastAsia" w:ascii="仿宋_GB2312" w:hAnsi="仿宋" w:eastAsia="仿宋_GB2312"/>
          <w:kern w:val="0"/>
          <w:sz w:val="32"/>
          <w:szCs w:val="32"/>
          <w:lang w:val="en-US" w:eastAsia="zh-CN"/>
        </w:rPr>
      </w:pPr>
      <w:r>
        <w:rPr>
          <w:rFonts w:hint="eastAsia" w:ascii="仿宋_GB2312" w:hAnsi="仿宋" w:eastAsia="仿宋_GB2312"/>
          <w:sz w:val="32"/>
          <w:szCs w:val="32"/>
        </w:rPr>
        <w:t>制度建设不够健全，缺少中小学安防管理制度、物防设施维护管理办法、专项资金管理制度、合同管理、采购管理制度等</w:t>
      </w:r>
      <w:r>
        <w:rPr>
          <w:rFonts w:hint="eastAsia" w:ascii="仿宋_GB2312" w:hAnsi="仿宋" w:eastAsia="仿宋_GB2312"/>
          <w:kern w:val="0"/>
          <w:sz w:val="32"/>
          <w:szCs w:val="32"/>
        </w:rPr>
        <w:t>。项目实施方案有效性、可操作性不足，</w:t>
      </w:r>
      <w:r>
        <w:rPr>
          <w:rFonts w:hint="eastAsia" w:ascii="仿宋_GB2312" w:hAnsi="仿宋" w:eastAsia="仿宋_GB2312"/>
          <w:b w:val="0"/>
          <w:kern w:val="2"/>
          <w:sz w:val="32"/>
          <w:szCs w:val="32"/>
        </w:rPr>
        <w:t>缺少对中小学各类安防产品，如减速带、隔离栏、隔离墩、防冲撞产品对比分析</w:t>
      </w:r>
      <w:r>
        <w:rPr>
          <w:rFonts w:hint="eastAsia" w:ascii="仿宋_GB2312" w:hAnsi="仿宋" w:eastAsia="仿宋_GB2312"/>
          <w:b w:val="0"/>
          <w:kern w:val="2"/>
          <w:sz w:val="32"/>
          <w:szCs w:val="32"/>
          <w:lang w:eastAsia="zh-CN"/>
        </w:rPr>
        <w:t>；</w:t>
      </w:r>
      <w:r>
        <w:rPr>
          <w:rFonts w:hint="eastAsia" w:ascii="仿宋_GB2312" w:hAnsi="仿宋" w:eastAsia="仿宋_GB2312"/>
          <w:kern w:val="0"/>
          <w:sz w:val="32"/>
          <w:szCs w:val="32"/>
        </w:rPr>
        <w:t>未明确协调工作机制，缺少过程监督、项目验收、风险防控、应急预案、后续运行维护措施等</w:t>
      </w:r>
      <w:r>
        <w:rPr>
          <w:rFonts w:hint="eastAsia" w:ascii="仿宋_GB2312" w:hAnsi="仿宋" w:eastAsia="仿宋_GB2312"/>
          <w:kern w:val="0"/>
          <w:sz w:val="32"/>
          <w:szCs w:val="32"/>
          <w:lang w:val="en-US" w:eastAsia="zh-CN"/>
        </w:rPr>
        <w:t>内容。</w:t>
      </w:r>
    </w:p>
    <w:p>
      <w:pPr>
        <w:spacing w:line="360" w:lineRule="auto"/>
        <w:ind w:firstLine="640" w:firstLineChars="200"/>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过程管理的规范性有待加强。缺少过程质量监督记录、防撞桩调试、安装记录、分项验收记录等。</w:t>
      </w:r>
    </w:p>
    <w:p>
      <w:pPr>
        <w:spacing w:line="360" w:lineRule="auto"/>
        <w:ind w:firstLine="643" w:firstLineChars="200"/>
        <w:rPr>
          <w:rFonts w:ascii="仿宋_GB2312" w:hAnsi="仿宋_GB2312" w:eastAsia="仿宋_GB2312"/>
          <w:b/>
          <w:sz w:val="32"/>
          <w:szCs w:val="32"/>
        </w:rPr>
      </w:pPr>
      <w:bookmarkStart w:id="70" w:name="_Toc426226430"/>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四</w:t>
      </w: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绩效管理意识有待加强，绩效</w:t>
      </w:r>
      <w:r>
        <w:rPr>
          <w:rFonts w:hint="eastAsia" w:ascii="仿宋_GB2312" w:hAnsi="仿宋_GB2312" w:eastAsia="仿宋_GB2312"/>
          <w:b/>
          <w:sz w:val="32"/>
          <w:szCs w:val="32"/>
        </w:rPr>
        <w:t>展示</w:t>
      </w:r>
      <w:r>
        <w:rPr>
          <w:rFonts w:hint="eastAsia" w:ascii="仿宋_GB2312" w:hAnsi="仿宋_GB2312" w:eastAsia="仿宋_GB2312"/>
          <w:b/>
          <w:sz w:val="32"/>
          <w:szCs w:val="32"/>
          <w:lang w:val="en-US" w:eastAsia="zh-CN"/>
        </w:rPr>
        <w:t>不够充分</w:t>
      </w:r>
      <w:bookmarkEnd w:id="70"/>
    </w:p>
    <w:p>
      <w:pPr>
        <w:spacing w:line="360" w:lineRule="auto"/>
        <w:ind w:firstLine="640" w:firstLineChars="200"/>
        <w:rPr>
          <w:rFonts w:ascii="仿宋_GB2312" w:eastAsia="仿宋_GB2312"/>
          <w:sz w:val="32"/>
          <w:szCs w:val="32"/>
        </w:rPr>
      </w:pPr>
      <w:r>
        <w:rPr>
          <w:rFonts w:hint="eastAsia" w:ascii="仿宋_GB2312" w:hAnsi="仿宋" w:eastAsia="仿宋_GB2312"/>
          <w:sz w:val="32"/>
          <w:szCs w:val="32"/>
        </w:rPr>
        <w:t>未建立统一规范的绩效管理制度，</w:t>
      </w:r>
      <w:r>
        <w:rPr>
          <w:rFonts w:hint="eastAsia" w:ascii="仿宋_GB2312" w:eastAsia="仿宋_GB2312"/>
          <w:sz w:val="32"/>
          <w:szCs w:val="32"/>
        </w:rPr>
        <w:t>项目绩效成果展现不够充分，项目绩效报告内容不够完善，</w:t>
      </w:r>
      <w:r>
        <w:rPr>
          <w:rFonts w:hint="eastAsia" w:ascii="仿宋_GB2312" w:eastAsia="仿宋_GB2312"/>
          <w:sz w:val="32"/>
          <w:szCs w:val="32"/>
          <w:lang w:val="en-US" w:eastAsia="zh-CN"/>
        </w:rPr>
        <w:t>对</w:t>
      </w:r>
      <w:r>
        <w:rPr>
          <w:rFonts w:hint="eastAsia" w:ascii="仿宋_GB2312" w:eastAsia="仿宋_GB2312"/>
          <w:sz w:val="32"/>
          <w:szCs w:val="32"/>
        </w:rPr>
        <w:t>项目实施效果分析不够深入，</w:t>
      </w:r>
      <w:r>
        <w:rPr>
          <w:rFonts w:hint="eastAsia" w:ascii="仿宋_GB2312" w:hAnsi="仿宋" w:eastAsia="仿宋_GB2312"/>
          <w:sz w:val="32"/>
          <w:szCs w:val="32"/>
        </w:rPr>
        <w:t>项目成果展现尚不够充分，有效防止突发的交通事故等具体数据效果资料支撑不足。缺少对各学校安装相关设备后，学校安防事故减少、门前安全区域扩大，方便师生进出校速度或减少防护人员用工情况</w:t>
      </w:r>
      <w:r>
        <w:rPr>
          <w:rFonts w:hint="eastAsia" w:ascii="仿宋_GB2312" w:hAnsi="仿宋" w:eastAsia="仿宋_GB2312"/>
          <w:sz w:val="32"/>
          <w:szCs w:val="32"/>
          <w:lang w:val="en-US" w:eastAsia="zh-CN"/>
        </w:rPr>
        <w:t>分析与</w:t>
      </w:r>
      <w:r>
        <w:rPr>
          <w:rFonts w:hint="eastAsia" w:ascii="仿宋_GB2312" w:hAnsi="仿宋" w:eastAsia="仿宋_GB2312"/>
          <w:sz w:val="32"/>
          <w:szCs w:val="32"/>
        </w:rPr>
        <w:t>说明。</w:t>
      </w:r>
      <w:r>
        <w:rPr>
          <w:rFonts w:hint="eastAsia" w:ascii="仿宋_GB2312" w:eastAsia="仿宋_GB2312"/>
          <w:sz w:val="32"/>
          <w:szCs w:val="32"/>
          <w:lang w:val="en-US" w:eastAsia="zh-CN"/>
        </w:rPr>
        <w:t>根据</w:t>
      </w:r>
      <w:r>
        <w:rPr>
          <w:rFonts w:hint="eastAsia" w:ascii="仿宋_GB2312" w:eastAsia="仿宋_GB2312"/>
          <w:sz w:val="32"/>
          <w:szCs w:val="32"/>
        </w:rPr>
        <w:t>购销合同</w:t>
      </w:r>
      <w:r>
        <w:rPr>
          <w:rFonts w:hint="eastAsia" w:ascii="仿宋_GB2312" w:eastAsia="仿宋_GB2312"/>
          <w:sz w:val="32"/>
          <w:szCs w:val="32"/>
          <w:lang w:eastAsia="zh-CN"/>
        </w:rPr>
        <w:t>，</w:t>
      </w:r>
      <w:r>
        <w:rPr>
          <w:rFonts w:hint="eastAsia" w:ascii="仿宋_GB2312" w:eastAsia="仿宋_GB2312"/>
          <w:sz w:val="32"/>
          <w:szCs w:val="32"/>
        </w:rPr>
        <w:t>质保期</w:t>
      </w:r>
      <w:r>
        <w:rPr>
          <w:rFonts w:hint="eastAsia" w:ascii="仿宋_GB2312" w:eastAsia="仿宋_GB2312"/>
          <w:sz w:val="32"/>
          <w:szCs w:val="32"/>
          <w:lang w:val="en-US" w:eastAsia="zh-CN"/>
        </w:rPr>
        <w:t>为</w:t>
      </w:r>
      <w:r>
        <w:rPr>
          <w:rFonts w:hint="eastAsia" w:ascii="仿宋_GB2312" w:eastAsia="仿宋_GB2312"/>
          <w:sz w:val="32"/>
          <w:szCs w:val="32"/>
        </w:rPr>
        <w:t>一年，</w:t>
      </w:r>
      <w:r>
        <w:rPr>
          <w:rFonts w:hint="eastAsia" w:ascii="仿宋_GB2312" w:eastAsia="仿宋_GB2312"/>
          <w:sz w:val="32"/>
          <w:szCs w:val="32"/>
          <w:lang w:val="en-US" w:eastAsia="zh-CN"/>
        </w:rPr>
        <w:t>质保期后</w:t>
      </w:r>
      <w:r>
        <w:rPr>
          <w:rFonts w:hint="eastAsia" w:ascii="仿宋_GB2312" w:eastAsia="仿宋_GB2312"/>
          <w:sz w:val="32"/>
          <w:szCs w:val="32"/>
        </w:rPr>
        <w:t>对于后续的升降柱维护管理计划</w:t>
      </w:r>
      <w:r>
        <w:rPr>
          <w:rFonts w:hint="eastAsia" w:ascii="仿宋_GB2312" w:eastAsia="仿宋_GB2312"/>
          <w:sz w:val="32"/>
          <w:szCs w:val="32"/>
          <w:lang w:val="en-US" w:eastAsia="zh-CN"/>
        </w:rPr>
        <w:t>和措施</w:t>
      </w:r>
      <w:r>
        <w:rPr>
          <w:rFonts w:hint="eastAsia" w:ascii="仿宋_GB2312" w:eastAsia="仿宋_GB2312"/>
          <w:sz w:val="32"/>
          <w:szCs w:val="32"/>
        </w:rPr>
        <w:t>不够充分</w:t>
      </w:r>
      <w:r>
        <w:rPr>
          <w:rFonts w:hint="eastAsia" w:ascii="仿宋_GB2312" w:eastAsia="仿宋_GB2312"/>
          <w:sz w:val="32"/>
          <w:szCs w:val="32"/>
          <w:lang w:eastAsia="zh-CN"/>
        </w:rPr>
        <w:t>。</w:t>
      </w:r>
      <w:r>
        <w:rPr>
          <w:rFonts w:hint="eastAsia" w:ascii="仿宋_GB2312" w:eastAsia="仿宋_GB2312"/>
          <w:sz w:val="32"/>
          <w:szCs w:val="32"/>
        </w:rPr>
        <w:t>服务对象满意度调查汇总分析不够，服务对象满意度调查只有学校的31份问卷，未进行问卷分析。缺少家长、学生对于项目实施反馈的意见。</w:t>
      </w:r>
    </w:p>
    <w:p>
      <w:pPr>
        <w:pStyle w:val="2"/>
        <w:spacing w:line="360" w:lineRule="auto"/>
        <w:ind w:left="0" w:firstLine="643" w:firstLineChars="200"/>
      </w:pPr>
      <w:bookmarkStart w:id="71" w:name="_Toc365968763"/>
      <w:bookmarkStart w:id="72" w:name="_Toc426246486"/>
      <w:bookmarkStart w:id="73" w:name="_Toc426226431"/>
      <w:bookmarkStart w:id="74" w:name="_Toc20743"/>
      <w:r>
        <w:rPr>
          <w:rFonts w:hint="eastAsia"/>
        </w:rPr>
        <w:t>六、建议</w:t>
      </w:r>
      <w:bookmarkEnd w:id="68"/>
      <w:bookmarkEnd w:id="71"/>
      <w:bookmarkEnd w:id="72"/>
      <w:bookmarkEnd w:id="73"/>
      <w:r>
        <w:rPr>
          <w:rFonts w:hint="eastAsia"/>
        </w:rPr>
        <w:t>及整改措施</w:t>
      </w:r>
      <w:bookmarkEnd w:id="74"/>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（一）科学编制绩效目标申报表</w:t>
      </w:r>
      <w:r>
        <w:rPr>
          <w:rFonts w:hint="eastAsia" w:ascii="仿宋_GB2312" w:hAnsi="仿宋" w:eastAsia="仿宋_GB2312"/>
          <w:b/>
          <w:sz w:val="32"/>
          <w:szCs w:val="32"/>
          <w:lang w:eastAsia="zh-CN"/>
        </w:rPr>
        <w:t>，</w:t>
      </w:r>
      <w:r>
        <w:rPr>
          <w:rFonts w:hint="eastAsia" w:ascii="仿宋_GB2312" w:hAnsi="仿宋" w:eastAsia="仿宋_GB2312"/>
          <w:b/>
          <w:sz w:val="32"/>
          <w:szCs w:val="32"/>
        </w:rPr>
        <w:t>提高绩效管理水平</w:t>
      </w:r>
    </w:p>
    <w:p>
      <w:pPr>
        <w:spacing w:line="360" w:lineRule="auto"/>
        <w:ind w:firstLine="640" w:firstLineChars="200"/>
        <w:contextualSpacing/>
        <w:rPr>
          <w:rFonts w:hint="eastAsia" w:ascii="仿宋_GB2312" w:hAnsi="仿宋" w:eastAsia="仿宋_GB2312" w:cs="仿宋"/>
          <w:bCs/>
          <w:sz w:val="32"/>
          <w:szCs w:val="32"/>
        </w:rPr>
      </w:pPr>
      <w:r>
        <w:rPr>
          <w:rFonts w:hint="eastAsia" w:ascii="仿宋_GB2312" w:hAnsi="仿宋" w:eastAsia="仿宋_GB2312" w:cs="仿宋"/>
          <w:bCs/>
          <w:sz w:val="32"/>
          <w:szCs w:val="32"/>
          <w:lang w:val="en-US" w:eastAsia="zh-CN"/>
        </w:rPr>
        <w:t>加强</w:t>
      </w:r>
      <w:r>
        <w:rPr>
          <w:rFonts w:hint="eastAsia" w:ascii="仿宋_GB2312" w:hAnsi="仿宋" w:eastAsia="仿宋_GB2312" w:cs="仿宋"/>
          <w:bCs/>
          <w:sz w:val="32"/>
          <w:szCs w:val="32"/>
        </w:rPr>
        <w:t>绩效管理意识，</w:t>
      </w:r>
      <w:r>
        <w:rPr>
          <w:rFonts w:hint="eastAsia" w:ascii="仿宋_GB2312" w:hAnsi="仿宋" w:eastAsia="仿宋_GB2312" w:cs="仿宋"/>
          <w:bCs/>
          <w:sz w:val="32"/>
          <w:szCs w:val="32"/>
          <w:lang w:val="en-US" w:eastAsia="zh-CN"/>
        </w:rPr>
        <w:t>申报项目时应</w:t>
      </w:r>
      <w:r>
        <w:rPr>
          <w:rFonts w:hint="eastAsia" w:ascii="仿宋_GB2312" w:hAnsi="仿宋" w:eastAsia="仿宋_GB2312" w:cs="仿宋"/>
          <w:bCs/>
          <w:sz w:val="32"/>
          <w:szCs w:val="32"/>
        </w:rPr>
        <w:t>科学填报项目支出绩效目标</w:t>
      </w:r>
      <w:r>
        <w:rPr>
          <w:rFonts w:hint="eastAsia" w:ascii="仿宋_GB2312" w:hAnsi="仿宋" w:eastAsia="仿宋_GB2312" w:cs="仿宋"/>
          <w:bCs/>
          <w:sz w:val="32"/>
          <w:szCs w:val="32"/>
          <w:lang w:val="en-US" w:eastAsia="zh-CN"/>
        </w:rPr>
        <w:t>申报表</w:t>
      </w:r>
      <w:r>
        <w:rPr>
          <w:rFonts w:hint="eastAsia" w:ascii="仿宋_GB2312" w:hAnsi="仿宋" w:eastAsia="仿宋_GB2312" w:cs="仿宋"/>
          <w:bCs/>
          <w:sz w:val="32"/>
          <w:szCs w:val="32"/>
        </w:rPr>
        <w:t>，为预算绩效管理奠定基础。</w:t>
      </w:r>
      <w:r>
        <w:rPr>
          <w:rFonts w:hint="eastAsia" w:ascii="仿宋_GB2312" w:hAnsi="仿宋" w:eastAsia="仿宋_GB2312" w:cs="仿宋"/>
          <w:bCs/>
          <w:sz w:val="32"/>
          <w:szCs w:val="32"/>
          <w:lang w:val="en-US" w:eastAsia="zh-CN"/>
        </w:rPr>
        <w:t>按照“该项目全部预算资金在一定期限内预期达到的总体产出和效果”科学、合理设定项目支出的总体目标，在设定总体目标的基础上，</w:t>
      </w:r>
      <w:r>
        <w:rPr>
          <w:rFonts w:hint="eastAsia" w:ascii="仿宋_GB2312" w:hAnsi="仿宋" w:eastAsia="仿宋_GB2312" w:cs="仿宋"/>
          <w:bCs/>
          <w:sz w:val="32"/>
          <w:szCs w:val="32"/>
        </w:rPr>
        <w:t>细化</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量化项目</w:t>
      </w:r>
      <w:r>
        <w:rPr>
          <w:rFonts w:hint="eastAsia" w:ascii="仿宋_GB2312" w:hAnsi="仿宋" w:eastAsia="仿宋_GB2312" w:cs="仿宋"/>
          <w:bCs/>
          <w:sz w:val="32"/>
          <w:szCs w:val="32"/>
          <w:lang w:val="en-US" w:eastAsia="zh-CN"/>
        </w:rPr>
        <w:t>的具体</w:t>
      </w:r>
      <w:r>
        <w:rPr>
          <w:rFonts w:hint="eastAsia" w:ascii="仿宋_GB2312" w:hAnsi="仿宋" w:eastAsia="仿宋_GB2312" w:cs="仿宋"/>
          <w:bCs/>
          <w:sz w:val="32"/>
          <w:szCs w:val="32"/>
        </w:rPr>
        <w:t>绩效指标，</w:t>
      </w:r>
      <w:r>
        <w:rPr>
          <w:rFonts w:hint="eastAsia" w:ascii="仿宋_GB2312" w:hAnsi="仿宋" w:eastAsia="仿宋_GB2312" w:cs="仿宋"/>
          <w:bCs/>
          <w:sz w:val="32"/>
          <w:szCs w:val="32"/>
          <w:lang w:val="en-US" w:eastAsia="zh-CN"/>
        </w:rPr>
        <w:t>使绩效指标</w:t>
      </w:r>
      <w:r>
        <w:rPr>
          <w:rFonts w:hint="eastAsia" w:ascii="仿宋_GB2312" w:hAnsi="仿宋" w:eastAsia="仿宋_GB2312" w:cs="仿宋"/>
          <w:bCs/>
          <w:sz w:val="32"/>
          <w:szCs w:val="32"/>
        </w:rPr>
        <w:t>可量</w:t>
      </w:r>
      <w:r>
        <w:rPr>
          <w:rFonts w:hint="eastAsia" w:ascii="仿宋_GB2312" w:hAnsi="仿宋" w:eastAsia="仿宋_GB2312" w:cs="仿宋"/>
          <w:bCs/>
          <w:sz w:val="32"/>
          <w:szCs w:val="32"/>
          <w:lang w:val="en-US" w:eastAsia="zh-CN"/>
        </w:rPr>
        <w:t>可考</w:t>
      </w:r>
      <w:r>
        <w:rPr>
          <w:rFonts w:hint="eastAsia" w:ascii="仿宋_GB2312" w:hAnsi="仿宋" w:eastAsia="仿宋_GB2312" w:cs="仿宋"/>
          <w:bCs/>
          <w:sz w:val="32"/>
          <w:szCs w:val="32"/>
        </w:rPr>
        <w:t>。</w:t>
      </w:r>
    </w:p>
    <w:p>
      <w:pPr>
        <w:spacing w:line="360" w:lineRule="auto"/>
        <w:ind w:firstLine="643" w:firstLineChars="200"/>
        <w:contextualSpacing/>
        <w:rPr>
          <w:rFonts w:ascii="仿宋_GB2312" w:hAnsi="仿宋_GB2312" w:eastAsia="仿宋_GB2312"/>
          <w:b/>
          <w:sz w:val="32"/>
          <w:szCs w:val="32"/>
        </w:rPr>
      </w:pPr>
      <w:r>
        <w:rPr>
          <w:rFonts w:hint="eastAsia" w:ascii="仿宋_GB2312" w:hAnsi="仿宋_GB2312" w:eastAsia="仿宋_GB2312"/>
          <w:b/>
          <w:sz w:val="32"/>
          <w:szCs w:val="32"/>
        </w:rPr>
        <w:t>（二）</w:t>
      </w:r>
      <w:r>
        <w:rPr>
          <w:rFonts w:hint="eastAsia" w:ascii="仿宋_GB2312" w:hAnsi="仿宋_GB2312" w:eastAsia="仿宋_GB2312"/>
          <w:b/>
          <w:sz w:val="32"/>
          <w:szCs w:val="32"/>
          <w:lang w:val="en-US" w:eastAsia="zh-CN"/>
        </w:rPr>
        <w:t>加强项目</w:t>
      </w:r>
      <w:r>
        <w:rPr>
          <w:rFonts w:hint="eastAsia" w:ascii="仿宋_GB2312" w:hAnsi="仿宋_GB2312" w:eastAsia="仿宋_GB2312"/>
          <w:b/>
          <w:sz w:val="32"/>
          <w:szCs w:val="32"/>
        </w:rPr>
        <w:t>预算</w:t>
      </w:r>
      <w:r>
        <w:rPr>
          <w:rFonts w:hint="eastAsia" w:ascii="仿宋_GB2312" w:hAnsi="仿宋_GB2312" w:eastAsia="仿宋_GB2312"/>
          <w:b/>
          <w:sz w:val="32"/>
          <w:szCs w:val="32"/>
          <w:lang w:val="en-US" w:eastAsia="zh-CN"/>
        </w:rPr>
        <w:t>管理，规范预算申报支撑</w:t>
      </w:r>
    </w:p>
    <w:p>
      <w:pPr>
        <w:spacing w:line="360" w:lineRule="auto"/>
        <w:ind w:firstLine="640" w:firstLineChars="200"/>
        <w:contextualSpacing/>
        <w:rPr>
          <w:rFonts w:ascii="仿宋_GB2312" w:hAnsi="仿宋" w:eastAsia="仿宋_GB2312"/>
          <w:sz w:val="32"/>
          <w:szCs w:val="32"/>
        </w:rPr>
      </w:pPr>
      <w:r>
        <w:rPr>
          <w:rFonts w:hint="eastAsia" w:ascii="仿宋_GB2312" w:hAnsi="仿宋" w:eastAsia="仿宋_GB2312"/>
          <w:sz w:val="32"/>
          <w:szCs w:val="32"/>
          <w:lang w:val="en-US" w:eastAsia="zh-CN"/>
        </w:rPr>
        <w:t>对于新立项且预算在200万以上的项目或技术较复杂的项目，应对</w:t>
      </w:r>
      <w:r>
        <w:rPr>
          <w:rFonts w:hint="eastAsia" w:ascii="仿宋_GB2312" w:hAnsi="仿宋" w:eastAsia="仿宋_GB2312"/>
          <w:sz w:val="32"/>
          <w:szCs w:val="32"/>
        </w:rPr>
        <w:t>项目前期方案</w:t>
      </w:r>
      <w:r>
        <w:rPr>
          <w:rFonts w:hint="eastAsia" w:ascii="仿宋_GB2312" w:hAnsi="仿宋" w:eastAsia="仿宋_GB2312"/>
          <w:sz w:val="32"/>
          <w:szCs w:val="32"/>
          <w:lang w:val="en-US" w:eastAsia="zh-CN"/>
        </w:rPr>
        <w:t>进行专家</w:t>
      </w:r>
      <w:r>
        <w:rPr>
          <w:rFonts w:hint="eastAsia" w:ascii="仿宋_GB2312" w:hAnsi="仿宋" w:eastAsia="仿宋_GB2312"/>
          <w:sz w:val="32"/>
          <w:szCs w:val="32"/>
        </w:rPr>
        <w:t>论证</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并建议对项目进行预算评审，</w:t>
      </w:r>
      <w:r>
        <w:rPr>
          <w:rFonts w:hint="eastAsia" w:ascii="仿宋_GB2312" w:hAnsi="仿宋" w:eastAsia="仿宋_GB2312"/>
          <w:sz w:val="32"/>
          <w:szCs w:val="32"/>
        </w:rPr>
        <w:t>提高预算编制科学性。</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val="en-US" w:eastAsia="zh-CN"/>
        </w:rPr>
        <w:t>三</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完善项目管理制度，加强</w:t>
      </w:r>
      <w:r>
        <w:rPr>
          <w:rFonts w:hint="eastAsia" w:ascii="仿宋_GB2312" w:hAnsi="仿宋" w:eastAsia="仿宋_GB2312"/>
          <w:b/>
          <w:sz w:val="32"/>
          <w:szCs w:val="32"/>
        </w:rPr>
        <w:t>项目</w:t>
      </w:r>
      <w:r>
        <w:rPr>
          <w:rFonts w:hint="eastAsia" w:ascii="仿宋_GB2312" w:hAnsi="仿宋" w:eastAsia="仿宋_GB2312"/>
          <w:b/>
          <w:sz w:val="32"/>
          <w:szCs w:val="32"/>
          <w:lang w:val="en-US" w:eastAsia="zh-CN"/>
        </w:rPr>
        <w:t>精细化</w:t>
      </w:r>
      <w:r>
        <w:rPr>
          <w:rFonts w:hint="eastAsia" w:ascii="仿宋_GB2312" w:hAnsi="仿宋" w:eastAsia="仿宋_GB2312"/>
          <w:b/>
          <w:sz w:val="32"/>
          <w:szCs w:val="32"/>
        </w:rPr>
        <w:t>管理，提高风险防范意识</w:t>
      </w:r>
    </w:p>
    <w:p>
      <w:pPr>
        <w:spacing w:line="360" w:lineRule="auto"/>
        <w:ind w:firstLine="640" w:firstLineChars="200"/>
        <w:contextualSpacing/>
        <w:rPr>
          <w:rFonts w:ascii="仿宋_GB2312" w:hAnsi="仿宋" w:eastAsia="仿宋_GB2312"/>
          <w:sz w:val="32"/>
          <w:szCs w:val="32"/>
        </w:rPr>
      </w:pPr>
      <w:r>
        <w:rPr>
          <w:rFonts w:hint="eastAsia" w:ascii="仿宋_GB2312" w:hAnsi="仿宋" w:eastAsia="仿宋_GB2312"/>
          <w:sz w:val="32"/>
          <w:szCs w:val="32"/>
          <w:lang w:val="en-US" w:eastAsia="zh-CN"/>
        </w:rPr>
        <w:t>完善项目管理制度，建立健全专项资金管理办法、安全管理制度、合同管理、采购管理制度、绩效管理办法等，进一步梳理和完善部门的内控制度。重视</w:t>
      </w:r>
      <w:r>
        <w:rPr>
          <w:rFonts w:hint="eastAsia" w:ascii="仿宋_GB2312" w:hAnsi="仿宋" w:eastAsia="仿宋_GB2312"/>
          <w:sz w:val="32"/>
          <w:szCs w:val="32"/>
        </w:rPr>
        <w:t>项目实施方案，明确各方责任分工，明确</w:t>
      </w:r>
      <w:r>
        <w:rPr>
          <w:rFonts w:hint="eastAsia" w:ascii="仿宋_GB2312" w:hAnsi="仿宋" w:eastAsia="仿宋_GB2312"/>
          <w:sz w:val="32"/>
          <w:szCs w:val="32"/>
          <w:lang w:val="en-US" w:eastAsia="zh-CN"/>
        </w:rPr>
        <w:t>项目实施</w:t>
      </w:r>
      <w:r>
        <w:rPr>
          <w:rFonts w:hint="eastAsia" w:ascii="仿宋_GB2312" w:hAnsi="仿宋" w:eastAsia="仿宋_GB2312"/>
          <w:sz w:val="32"/>
          <w:szCs w:val="32"/>
        </w:rPr>
        <w:t>单位对项目日常监管、指导的责任。规范验收流程，加强风险防控。加强过程监督管理，注意发挥主体责任，及时完整收集项目过程资料。严格履行政府采购的相关规定，规范</w:t>
      </w:r>
      <w:r>
        <w:rPr>
          <w:rFonts w:hint="eastAsia" w:ascii="仿宋_GB2312" w:hAnsi="仿宋" w:eastAsia="仿宋_GB2312"/>
          <w:sz w:val="32"/>
          <w:szCs w:val="32"/>
          <w:lang w:val="en-US" w:eastAsia="zh-CN"/>
        </w:rPr>
        <w:t>招标代理</w:t>
      </w:r>
      <w:r>
        <w:rPr>
          <w:rFonts w:hint="eastAsia" w:ascii="仿宋_GB2312" w:hAnsi="仿宋" w:eastAsia="仿宋_GB2312"/>
          <w:sz w:val="32"/>
          <w:szCs w:val="32"/>
        </w:rPr>
        <w:t>的遴选机制。</w:t>
      </w:r>
    </w:p>
    <w:p>
      <w:pPr>
        <w:spacing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四</w:t>
      </w:r>
      <w:r>
        <w:rPr>
          <w:rFonts w:hint="eastAsia" w:ascii="仿宋_GB2312" w:hAnsi="仿宋_GB2312" w:eastAsia="仿宋_GB2312"/>
          <w:b/>
          <w:sz w:val="32"/>
          <w:szCs w:val="32"/>
        </w:rPr>
        <w:t>）注重项目资料的收集整理，提高绩效管理意识</w:t>
      </w:r>
    </w:p>
    <w:p>
      <w:pPr>
        <w:adjustRightInd w:val="0"/>
        <w:snapToGrid w:val="0"/>
        <w:spacing w:line="360" w:lineRule="auto"/>
        <w:ind w:firstLine="640" w:firstLineChars="200"/>
        <w:rPr>
          <w:rFonts w:hint="default" w:ascii="仿宋_GB2312" w:hAnsi="仿宋" w:eastAsia="仿宋_GB2312"/>
          <w:sz w:val="32"/>
          <w:szCs w:val="32"/>
          <w:lang w:val="en-US" w:eastAsia="zh-CN"/>
        </w:rPr>
      </w:pPr>
      <w:bookmarkStart w:id="75" w:name="_Hlk513394753"/>
      <w:r>
        <w:rPr>
          <w:rFonts w:hint="eastAsia" w:ascii="仿宋_GB2312" w:hAnsi="仿宋" w:eastAsia="仿宋_GB2312"/>
          <w:sz w:val="32"/>
          <w:szCs w:val="32"/>
        </w:rPr>
        <w:t>在项目实施过程中，围绕绩效目标建立绩效管理机制，注重</w:t>
      </w:r>
      <w:r>
        <w:rPr>
          <w:rFonts w:hint="eastAsia" w:ascii="仿宋_GB2312" w:hAnsi="仿宋" w:eastAsia="仿宋_GB2312"/>
          <w:sz w:val="32"/>
          <w:szCs w:val="32"/>
          <w:lang w:val="en-US" w:eastAsia="zh-CN"/>
        </w:rPr>
        <w:t>绩效成果的分析与总结</w:t>
      </w:r>
      <w:r>
        <w:rPr>
          <w:rFonts w:hint="eastAsia" w:ascii="仿宋_GB2312" w:hAnsi="仿宋" w:eastAsia="仿宋_GB2312"/>
          <w:sz w:val="32"/>
          <w:szCs w:val="32"/>
        </w:rPr>
        <w:t>。</w:t>
      </w:r>
      <w:bookmarkEnd w:id="75"/>
      <w:r>
        <w:rPr>
          <w:rFonts w:hint="eastAsia" w:ascii="仿宋_GB2312" w:hAnsi="仿宋" w:eastAsia="仿宋_GB2312"/>
          <w:sz w:val="32"/>
          <w:szCs w:val="32"/>
        </w:rPr>
        <w:t>进一步规范、完善服务对象满意度调查，明确具体服务对象群体，重视调查问卷的统计分析及结果应用。</w:t>
      </w:r>
      <w:r>
        <w:rPr>
          <w:rFonts w:hint="eastAsia" w:ascii="仿宋_GB2312" w:hAnsi="仿宋" w:eastAsia="仿宋_GB2312"/>
          <w:sz w:val="32"/>
          <w:szCs w:val="32"/>
          <w:lang w:val="en-US" w:eastAsia="zh-CN"/>
        </w:rPr>
        <w:t>安装设备设施的质保期结束后，建议及时明确管护责任，落实后期运行维护的管理，保障财政资金投入的可持续性影响效益。</w:t>
      </w:r>
    </w:p>
    <w:p>
      <w:pPr>
        <w:pStyle w:val="2"/>
        <w:spacing w:line="360" w:lineRule="auto"/>
      </w:pPr>
      <w:bookmarkStart w:id="76" w:name="_Toc426226432"/>
      <w:bookmarkStart w:id="77" w:name="_Toc426246487"/>
      <w:bookmarkStart w:id="78" w:name="_Toc22755"/>
      <w:bookmarkStart w:id="79" w:name="_Toc365968767"/>
      <w:r>
        <w:rPr>
          <w:rFonts w:hint="eastAsia"/>
        </w:rPr>
        <w:t>七、附件</w:t>
      </w:r>
      <w:bookmarkEnd w:id="76"/>
      <w:bookmarkEnd w:id="77"/>
      <w:bookmarkEnd w:id="78"/>
      <w:bookmarkEnd w:id="79"/>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.项目预算执行情况表</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2.项目绩效目标开展情况及收支明细表</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3.专家及评价工作组情况表</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4.专家意见汇总书</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5.指标体系及打分情况表</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6.反映绩效的相关图片（2幅，扉页位置）</w:t>
      </w:r>
    </w:p>
    <w:p>
      <w:pPr>
        <w:widowControl/>
        <w:jc w:val="left"/>
      </w:pPr>
    </w:p>
    <w:p>
      <w:pPr>
        <w:widowControl/>
        <w:jc w:val="left"/>
        <w:rPr>
          <w:rFonts w:ascii="仿宋_GB2312" w:hAnsi="仿宋" w:eastAsia="仿宋_GB2312" w:cs="仿宋"/>
          <w:bCs/>
          <w:kern w:val="44"/>
          <w:sz w:val="32"/>
          <w:szCs w:val="32"/>
        </w:rPr>
      </w:pPr>
    </w:p>
    <w:sectPr>
      <w:footerReference r:id="rId5" w:type="first"/>
      <w:footerReference r:id="rId4" w:type="default"/>
      <w:pgSz w:w="11906" w:h="16838"/>
      <w:pgMar w:top="1440" w:right="1797" w:bottom="1440" w:left="1797" w:header="851"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6"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1GC7UBAABcAwAADgAAAGRycy9lMm9Eb2MueG1srVPNjtMwEL4j8Q6W&#10;7zRpk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j1G&#10;C7UBAABcAwAADgAAAAAAAAABACAAAAAeAQAAZHJzL2Uyb0RvYy54bWxQSwUGAAAAAAYABgBZAQAA&#10;RQU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De7xDu&#10;tAEAAFwDAAAOAAAAAAAAAAEAIAAAAB4BAABkcnMvZTJvRG9jLnhtbFBLBQYAAAAABgAGAFkBAABE&#10;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7090B"/>
    <w:multiLevelType w:val="singleLevel"/>
    <w:tmpl w:val="8DC7090B"/>
    <w:lvl w:ilvl="0" w:tentative="0">
      <w:start w:val="3"/>
      <w:numFmt w:val="chineseCounting"/>
      <w:suff w:val="nothing"/>
      <w:lvlText w:val="（%1）"/>
      <w:lvlJc w:val="left"/>
      <w:rPr>
        <w:rFonts w:hint="eastAsia"/>
      </w:rPr>
    </w:lvl>
  </w:abstractNum>
  <w:abstractNum w:abstractNumId="1">
    <w:nsid w:val="9C0566F3"/>
    <w:multiLevelType w:val="singleLevel"/>
    <w:tmpl w:val="9C0566F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934DA"/>
    <w:rsid w:val="0000691D"/>
    <w:rsid w:val="00012B4B"/>
    <w:rsid w:val="00016FCE"/>
    <w:rsid w:val="00030BCD"/>
    <w:rsid w:val="0005099D"/>
    <w:rsid w:val="00052A6A"/>
    <w:rsid w:val="00052BA1"/>
    <w:rsid w:val="00055F34"/>
    <w:rsid w:val="00066975"/>
    <w:rsid w:val="00071533"/>
    <w:rsid w:val="00073796"/>
    <w:rsid w:val="000769AB"/>
    <w:rsid w:val="00082A79"/>
    <w:rsid w:val="000B21C2"/>
    <w:rsid w:val="000B2220"/>
    <w:rsid w:val="000B515D"/>
    <w:rsid w:val="000C3824"/>
    <w:rsid w:val="000D0FCA"/>
    <w:rsid w:val="000D12E2"/>
    <w:rsid w:val="000D734E"/>
    <w:rsid w:val="000E0764"/>
    <w:rsid w:val="000F24C9"/>
    <w:rsid w:val="000F6EEF"/>
    <w:rsid w:val="000F72AB"/>
    <w:rsid w:val="000F72C4"/>
    <w:rsid w:val="000F7F11"/>
    <w:rsid w:val="00105440"/>
    <w:rsid w:val="0011505D"/>
    <w:rsid w:val="00120354"/>
    <w:rsid w:val="001245C2"/>
    <w:rsid w:val="00143C16"/>
    <w:rsid w:val="00146877"/>
    <w:rsid w:val="00146C02"/>
    <w:rsid w:val="001524AB"/>
    <w:rsid w:val="00154EFC"/>
    <w:rsid w:val="001558B6"/>
    <w:rsid w:val="00167875"/>
    <w:rsid w:val="00173803"/>
    <w:rsid w:val="001746BC"/>
    <w:rsid w:val="001757A5"/>
    <w:rsid w:val="00175ABB"/>
    <w:rsid w:val="001814F3"/>
    <w:rsid w:val="001820B8"/>
    <w:rsid w:val="00184EE6"/>
    <w:rsid w:val="00185318"/>
    <w:rsid w:val="00192709"/>
    <w:rsid w:val="001944C4"/>
    <w:rsid w:val="001A250F"/>
    <w:rsid w:val="001A6571"/>
    <w:rsid w:val="001B55F0"/>
    <w:rsid w:val="001C3666"/>
    <w:rsid w:val="001D6F72"/>
    <w:rsid w:val="001E450C"/>
    <w:rsid w:val="001E59C9"/>
    <w:rsid w:val="001E6482"/>
    <w:rsid w:val="001F0DA8"/>
    <w:rsid w:val="00205E66"/>
    <w:rsid w:val="00211DF6"/>
    <w:rsid w:val="002172B0"/>
    <w:rsid w:val="00220665"/>
    <w:rsid w:val="002225B8"/>
    <w:rsid w:val="00233895"/>
    <w:rsid w:val="00233B15"/>
    <w:rsid w:val="00235965"/>
    <w:rsid w:val="0024794C"/>
    <w:rsid w:val="0025356F"/>
    <w:rsid w:val="00257B25"/>
    <w:rsid w:val="0026299D"/>
    <w:rsid w:val="0027011B"/>
    <w:rsid w:val="00274A9B"/>
    <w:rsid w:val="002760E9"/>
    <w:rsid w:val="00282026"/>
    <w:rsid w:val="00290070"/>
    <w:rsid w:val="00290DA2"/>
    <w:rsid w:val="002A06F6"/>
    <w:rsid w:val="002A0D18"/>
    <w:rsid w:val="002B4A7D"/>
    <w:rsid w:val="002B5527"/>
    <w:rsid w:val="002D2ABC"/>
    <w:rsid w:val="002E57BC"/>
    <w:rsid w:val="002F3486"/>
    <w:rsid w:val="002F44FB"/>
    <w:rsid w:val="002F6ADF"/>
    <w:rsid w:val="002F7DE8"/>
    <w:rsid w:val="00304F64"/>
    <w:rsid w:val="00310DA0"/>
    <w:rsid w:val="00312FBE"/>
    <w:rsid w:val="00323F5A"/>
    <w:rsid w:val="0033120A"/>
    <w:rsid w:val="003335F0"/>
    <w:rsid w:val="00362F54"/>
    <w:rsid w:val="0036317F"/>
    <w:rsid w:val="0036478B"/>
    <w:rsid w:val="0037469F"/>
    <w:rsid w:val="0037485D"/>
    <w:rsid w:val="003757B1"/>
    <w:rsid w:val="003809CC"/>
    <w:rsid w:val="00384246"/>
    <w:rsid w:val="003860E0"/>
    <w:rsid w:val="00391D9E"/>
    <w:rsid w:val="00392E8C"/>
    <w:rsid w:val="00395805"/>
    <w:rsid w:val="00396F0E"/>
    <w:rsid w:val="00397608"/>
    <w:rsid w:val="003B18C5"/>
    <w:rsid w:val="003B19D9"/>
    <w:rsid w:val="003D591E"/>
    <w:rsid w:val="003D6958"/>
    <w:rsid w:val="003E369C"/>
    <w:rsid w:val="003E5E45"/>
    <w:rsid w:val="003E769C"/>
    <w:rsid w:val="003E7AB7"/>
    <w:rsid w:val="003F0302"/>
    <w:rsid w:val="003F2DBF"/>
    <w:rsid w:val="00400A82"/>
    <w:rsid w:val="00403544"/>
    <w:rsid w:val="00415E5C"/>
    <w:rsid w:val="00434FD1"/>
    <w:rsid w:val="00436489"/>
    <w:rsid w:val="004404D8"/>
    <w:rsid w:val="0046560B"/>
    <w:rsid w:val="004664EB"/>
    <w:rsid w:val="0046769D"/>
    <w:rsid w:val="00472FAA"/>
    <w:rsid w:val="0047304D"/>
    <w:rsid w:val="004864A5"/>
    <w:rsid w:val="00493ACD"/>
    <w:rsid w:val="004A1643"/>
    <w:rsid w:val="004A2089"/>
    <w:rsid w:val="004A66EA"/>
    <w:rsid w:val="004B49ED"/>
    <w:rsid w:val="004D255D"/>
    <w:rsid w:val="004E6EA6"/>
    <w:rsid w:val="004E703D"/>
    <w:rsid w:val="004E7B9C"/>
    <w:rsid w:val="004E7C1D"/>
    <w:rsid w:val="005023E8"/>
    <w:rsid w:val="00511232"/>
    <w:rsid w:val="005118BF"/>
    <w:rsid w:val="00515298"/>
    <w:rsid w:val="0052194C"/>
    <w:rsid w:val="00524434"/>
    <w:rsid w:val="00526002"/>
    <w:rsid w:val="00530547"/>
    <w:rsid w:val="005514FB"/>
    <w:rsid w:val="00552476"/>
    <w:rsid w:val="00580A06"/>
    <w:rsid w:val="00593353"/>
    <w:rsid w:val="005A1695"/>
    <w:rsid w:val="005B7106"/>
    <w:rsid w:val="005B77AC"/>
    <w:rsid w:val="005C2A95"/>
    <w:rsid w:val="005C66E4"/>
    <w:rsid w:val="005D0A7C"/>
    <w:rsid w:val="005D4F0F"/>
    <w:rsid w:val="005E1CA4"/>
    <w:rsid w:val="005E7251"/>
    <w:rsid w:val="005F6F1C"/>
    <w:rsid w:val="00601D21"/>
    <w:rsid w:val="006028B9"/>
    <w:rsid w:val="00607157"/>
    <w:rsid w:val="006135B0"/>
    <w:rsid w:val="00615E85"/>
    <w:rsid w:val="0061672A"/>
    <w:rsid w:val="006168E3"/>
    <w:rsid w:val="006179D8"/>
    <w:rsid w:val="00622D1E"/>
    <w:rsid w:val="00630D1D"/>
    <w:rsid w:val="00633772"/>
    <w:rsid w:val="006355D8"/>
    <w:rsid w:val="006400D5"/>
    <w:rsid w:val="00641598"/>
    <w:rsid w:val="0065193C"/>
    <w:rsid w:val="00654974"/>
    <w:rsid w:val="00655E61"/>
    <w:rsid w:val="006613C2"/>
    <w:rsid w:val="00677EF6"/>
    <w:rsid w:val="00684E74"/>
    <w:rsid w:val="006911C7"/>
    <w:rsid w:val="006934DA"/>
    <w:rsid w:val="006946A7"/>
    <w:rsid w:val="00694B0D"/>
    <w:rsid w:val="006A07DD"/>
    <w:rsid w:val="006B1282"/>
    <w:rsid w:val="006B7BF7"/>
    <w:rsid w:val="006C77BD"/>
    <w:rsid w:val="006D1435"/>
    <w:rsid w:val="006D2F7C"/>
    <w:rsid w:val="006D3ECC"/>
    <w:rsid w:val="006E0E15"/>
    <w:rsid w:val="006F19F7"/>
    <w:rsid w:val="006F286C"/>
    <w:rsid w:val="006F7DC1"/>
    <w:rsid w:val="00702F25"/>
    <w:rsid w:val="00714051"/>
    <w:rsid w:val="00714707"/>
    <w:rsid w:val="0072497C"/>
    <w:rsid w:val="00731B50"/>
    <w:rsid w:val="007434A0"/>
    <w:rsid w:val="0074463B"/>
    <w:rsid w:val="00761964"/>
    <w:rsid w:val="007631AD"/>
    <w:rsid w:val="00766823"/>
    <w:rsid w:val="00787C14"/>
    <w:rsid w:val="00790ECD"/>
    <w:rsid w:val="007950B2"/>
    <w:rsid w:val="00795290"/>
    <w:rsid w:val="00795D28"/>
    <w:rsid w:val="007A0A0F"/>
    <w:rsid w:val="007A388D"/>
    <w:rsid w:val="007A4527"/>
    <w:rsid w:val="007A4E8F"/>
    <w:rsid w:val="007B5C53"/>
    <w:rsid w:val="007B5F5E"/>
    <w:rsid w:val="007B7422"/>
    <w:rsid w:val="007B7454"/>
    <w:rsid w:val="007C6746"/>
    <w:rsid w:val="007C7DB9"/>
    <w:rsid w:val="007C7E2F"/>
    <w:rsid w:val="007D1879"/>
    <w:rsid w:val="007E1C7C"/>
    <w:rsid w:val="00803BD2"/>
    <w:rsid w:val="00805006"/>
    <w:rsid w:val="00815180"/>
    <w:rsid w:val="00823CEF"/>
    <w:rsid w:val="00831CF2"/>
    <w:rsid w:val="00852C9C"/>
    <w:rsid w:val="00861744"/>
    <w:rsid w:val="00861AA4"/>
    <w:rsid w:val="008649F3"/>
    <w:rsid w:val="0089148A"/>
    <w:rsid w:val="00892C6E"/>
    <w:rsid w:val="008A7474"/>
    <w:rsid w:val="008D35FA"/>
    <w:rsid w:val="008D5097"/>
    <w:rsid w:val="008E4DBC"/>
    <w:rsid w:val="008F13DA"/>
    <w:rsid w:val="008F550F"/>
    <w:rsid w:val="00901E8A"/>
    <w:rsid w:val="0090712D"/>
    <w:rsid w:val="009116C9"/>
    <w:rsid w:val="0091287F"/>
    <w:rsid w:val="00915375"/>
    <w:rsid w:val="00934995"/>
    <w:rsid w:val="00945A31"/>
    <w:rsid w:val="00955B7A"/>
    <w:rsid w:val="00967044"/>
    <w:rsid w:val="00981880"/>
    <w:rsid w:val="00990A3B"/>
    <w:rsid w:val="00995469"/>
    <w:rsid w:val="009A1DE8"/>
    <w:rsid w:val="009A4489"/>
    <w:rsid w:val="009A54D2"/>
    <w:rsid w:val="009B1243"/>
    <w:rsid w:val="009B5892"/>
    <w:rsid w:val="009D0723"/>
    <w:rsid w:val="009D2187"/>
    <w:rsid w:val="009D3F0B"/>
    <w:rsid w:val="009E083B"/>
    <w:rsid w:val="009E3515"/>
    <w:rsid w:val="009F191C"/>
    <w:rsid w:val="009F23DE"/>
    <w:rsid w:val="00A05FF1"/>
    <w:rsid w:val="00A06735"/>
    <w:rsid w:val="00A0763A"/>
    <w:rsid w:val="00A20BFC"/>
    <w:rsid w:val="00A222D4"/>
    <w:rsid w:val="00A25B7C"/>
    <w:rsid w:val="00A30246"/>
    <w:rsid w:val="00A33732"/>
    <w:rsid w:val="00A365FD"/>
    <w:rsid w:val="00A4141E"/>
    <w:rsid w:val="00A50810"/>
    <w:rsid w:val="00A50BAE"/>
    <w:rsid w:val="00A575E8"/>
    <w:rsid w:val="00A603E4"/>
    <w:rsid w:val="00A62DC0"/>
    <w:rsid w:val="00A6358A"/>
    <w:rsid w:val="00A70520"/>
    <w:rsid w:val="00A81587"/>
    <w:rsid w:val="00A864B9"/>
    <w:rsid w:val="00A95D2C"/>
    <w:rsid w:val="00AA11B9"/>
    <w:rsid w:val="00AB0713"/>
    <w:rsid w:val="00AB409A"/>
    <w:rsid w:val="00AD7EA8"/>
    <w:rsid w:val="00AE53DD"/>
    <w:rsid w:val="00AE72FE"/>
    <w:rsid w:val="00AF612E"/>
    <w:rsid w:val="00B1132C"/>
    <w:rsid w:val="00B143D6"/>
    <w:rsid w:val="00B1665E"/>
    <w:rsid w:val="00B16D03"/>
    <w:rsid w:val="00B25086"/>
    <w:rsid w:val="00B33530"/>
    <w:rsid w:val="00B33A89"/>
    <w:rsid w:val="00B35BB9"/>
    <w:rsid w:val="00B4186F"/>
    <w:rsid w:val="00B41887"/>
    <w:rsid w:val="00B448E6"/>
    <w:rsid w:val="00B45F94"/>
    <w:rsid w:val="00B52A1D"/>
    <w:rsid w:val="00B54258"/>
    <w:rsid w:val="00B61111"/>
    <w:rsid w:val="00B63A55"/>
    <w:rsid w:val="00B655EF"/>
    <w:rsid w:val="00B6670E"/>
    <w:rsid w:val="00B73A89"/>
    <w:rsid w:val="00B73ACA"/>
    <w:rsid w:val="00B73C51"/>
    <w:rsid w:val="00B76B5F"/>
    <w:rsid w:val="00B80F47"/>
    <w:rsid w:val="00B817E8"/>
    <w:rsid w:val="00B843A9"/>
    <w:rsid w:val="00B97208"/>
    <w:rsid w:val="00BA6C55"/>
    <w:rsid w:val="00BA6EE7"/>
    <w:rsid w:val="00BA705F"/>
    <w:rsid w:val="00BB0750"/>
    <w:rsid w:val="00BB21F7"/>
    <w:rsid w:val="00BB370C"/>
    <w:rsid w:val="00BB6DF2"/>
    <w:rsid w:val="00BD51C6"/>
    <w:rsid w:val="00BD5796"/>
    <w:rsid w:val="00BE2F73"/>
    <w:rsid w:val="00BE7904"/>
    <w:rsid w:val="00BF26B5"/>
    <w:rsid w:val="00BF3CC3"/>
    <w:rsid w:val="00BF3F2B"/>
    <w:rsid w:val="00BF68CD"/>
    <w:rsid w:val="00C119F6"/>
    <w:rsid w:val="00C14ECB"/>
    <w:rsid w:val="00C16BF8"/>
    <w:rsid w:val="00C17F9C"/>
    <w:rsid w:val="00C17FC5"/>
    <w:rsid w:val="00C25285"/>
    <w:rsid w:val="00C273EC"/>
    <w:rsid w:val="00C30539"/>
    <w:rsid w:val="00C364E9"/>
    <w:rsid w:val="00C42042"/>
    <w:rsid w:val="00C42D91"/>
    <w:rsid w:val="00C4652B"/>
    <w:rsid w:val="00C627F0"/>
    <w:rsid w:val="00C729DB"/>
    <w:rsid w:val="00C747D2"/>
    <w:rsid w:val="00C83067"/>
    <w:rsid w:val="00C83947"/>
    <w:rsid w:val="00C8627F"/>
    <w:rsid w:val="00C9149F"/>
    <w:rsid w:val="00C93919"/>
    <w:rsid w:val="00C93EC6"/>
    <w:rsid w:val="00C96355"/>
    <w:rsid w:val="00CA2C6C"/>
    <w:rsid w:val="00CA2D21"/>
    <w:rsid w:val="00CD0305"/>
    <w:rsid w:val="00CD1E75"/>
    <w:rsid w:val="00CD5943"/>
    <w:rsid w:val="00CE2200"/>
    <w:rsid w:val="00CE6943"/>
    <w:rsid w:val="00CE751B"/>
    <w:rsid w:val="00CF3085"/>
    <w:rsid w:val="00D03AB0"/>
    <w:rsid w:val="00D06BA7"/>
    <w:rsid w:val="00D139CC"/>
    <w:rsid w:val="00D14C38"/>
    <w:rsid w:val="00D212E7"/>
    <w:rsid w:val="00D25B0F"/>
    <w:rsid w:val="00D27D32"/>
    <w:rsid w:val="00D36F67"/>
    <w:rsid w:val="00D5048A"/>
    <w:rsid w:val="00D61809"/>
    <w:rsid w:val="00D7041C"/>
    <w:rsid w:val="00D74440"/>
    <w:rsid w:val="00D81959"/>
    <w:rsid w:val="00D8248D"/>
    <w:rsid w:val="00D907C7"/>
    <w:rsid w:val="00D9430A"/>
    <w:rsid w:val="00D94B2E"/>
    <w:rsid w:val="00D978EB"/>
    <w:rsid w:val="00DA330C"/>
    <w:rsid w:val="00DA68F2"/>
    <w:rsid w:val="00DB388C"/>
    <w:rsid w:val="00DB402B"/>
    <w:rsid w:val="00DB656A"/>
    <w:rsid w:val="00DC27F9"/>
    <w:rsid w:val="00DC5360"/>
    <w:rsid w:val="00DD0503"/>
    <w:rsid w:val="00DD28C2"/>
    <w:rsid w:val="00DD7486"/>
    <w:rsid w:val="00DD76BB"/>
    <w:rsid w:val="00DE0886"/>
    <w:rsid w:val="00DF0E3F"/>
    <w:rsid w:val="00DF2C32"/>
    <w:rsid w:val="00DF7B23"/>
    <w:rsid w:val="00E01C0B"/>
    <w:rsid w:val="00E30B1A"/>
    <w:rsid w:val="00E40E15"/>
    <w:rsid w:val="00E43C06"/>
    <w:rsid w:val="00E5192A"/>
    <w:rsid w:val="00E5322B"/>
    <w:rsid w:val="00E538F3"/>
    <w:rsid w:val="00E75801"/>
    <w:rsid w:val="00E76E38"/>
    <w:rsid w:val="00E77321"/>
    <w:rsid w:val="00E86585"/>
    <w:rsid w:val="00E87F94"/>
    <w:rsid w:val="00EA5AD8"/>
    <w:rsid w:val="00EB50C9"/>
    <w:rsid w:val="00EB679D"/>
    <w:rsid w:val="00EC0CCC"/>
    <w:rsid w:val="00EC62E5"/>
    <w:rsid w:val="00EC79E6"/>
    <w:rsid w:val="00ED12AF"/>
    <w:rsid w:val="00ED4C72"/>
    <w:rsid w:val="00EE01DC"/>
    <w:rsid w:val="00EE5D18"/>
    <w:rsid w:val="00EF3802"/>
    <w:rsid w:val="00EF4A7C"/>
    <w:rsid w:val="00EF538F"/>
    <w:rsid w:val="00EF7685"/>
    <w:rsid w:val="00F00AF7"/>
    <w:rsid w:val="00F05F8B"/>
    <w:rsid w:val="00F10801"/>
    <w:rsid w:val="00F10AD8"/>
    <w:rsid w:val="00F1751F"/>
    <w:rsid w:val="00F21DBD"/>
    <w:rsid w:val="00F2207F"/>
    <w:rsid w:val="00F22414"/>
    <w:rsid w:val="00F23A10"/>
    <w:rsid w:val="00F31ECF"/>
    <w:rsid w:val="00F365BD"/>
    <w:rsid w:val="00F41A6B"/>
    <w:rsid w:val="00F66BBA"/>
    <w:rsid w:val="00F71EE0"/>
    <w:rsid w:val="00F75497"/>
    <w:rsid w:val="00FA6402"/>
    <w:rsid w:val="00FA77B0"/>
    <w:rsid w:val="00FB3292"/>
    <w:rsid w:val="00FD2FC4"/>
    <w:rsid w:val="00FD599D"/>
    <w:rsid w:val="00FD7E0F"/>
    <w:rsid w:val="00FE15F4"/>
    <w:rsid w:val="00FF3C50"/>
    <w:rsid w:val="018F28AF"/>
    <w:rsid w:val="02526BCF"/>
    <w:rsid w:val="09DE0B7C"/>
    <w:rsid w:val="0A3927EC"/>
    <w:rsid w:val="12DA3532"/>
    <w:rsid w:val="132115AE"/>
    <w:rsid w:val="142545FF"/>
    <w:rsid w:val="14C677EF"/>
    <w:rsid w:val="1806678D"/>
    <w:rsid w:val="192556BB"/>
    <w:rsid w:val="198E5288"/>
    <w:rsid w:val="19D560C5"/>
    <w:rsid w:val="1BCC2BD2"/>
    <w:rsid w:val="1FAC4516"/>
    <w:rsid w:val="20CB7CBE"/>
    <w:rsid w:val="256A24BB"/>
    <w:rsid w:val="273A32EC"/>
    <w:rsid w:val="28720C91"/>
    <w:rsid w:val="2D843792"/>
    <w:rsid w:val="2E343C93"/>
    <w:rsid w:val="31DB136C"/>
    <w:rsid w:val="376E41A9"/>
    <w:rsid w:val="38272EB1"/>
    <w:rsid w:val="3C1D6508"/>
    <w:rsid w:val="3C9E43AB"/>
    <w:rsid w:val="3CBB077C"/>
    <w:rsid w:val="3E8950E5"/>
    <w:rsid w:val="402238F4"/>
    <w:rsid w:val="41982708"/>
    <w:rsid w:val="46F02CB0"/>
    <w:rsid w:val="4BDE60CF"/>
    <w:rsid w:val="4E0A2017"/>
    <w:rsid w:val="4F0A12E0"/>
    <w:rsid w:val="508925E0"/>
    <w:rsid w:val="50E83A7D"/>
    <w:rsid w:val="517F06F7"/>
    <w:rsid w:val="56127082"/>
    <w:rsid w:val="582F3D0F"/>
    <w:rsid w:val="596A52BB"/>
    <w:rsid w:val="5B043E61"/>
    <w:rsid w:val="619E2C7B"/>
    <w:rsid w:val="61E64AE8"/>
    <w:rsid w:val="624350E3"/>
    <w:rsid w:val="63B54D9D"/>
    <w:rsid w:val="64EF7C8E"/>
    <w:rsid w:val="656E72A4"/>
    <w:rsid w:val="65C97E31"/>
    <w:rsid w:val="6AF64058"/>
    <w:rsid w:val="6F440667"/>
    <w:rsid w:val="717E2E50"/>
    <w:rsid w:val="71DB6A1E"/>
    <w:rsid w:val="77996187"/>
    <w:rsid w:val="783D4F7F"/>
    <w:rsid w:val="79D026E2"/>
    <w:rsid w:val="7EC80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1"/>
    <w:qFormat/>
    <w:uiPriority w:val="0"/>
    <w:pPr>
      <w:keepNext/>
      <w:keepLines/>
      <w:spacing w:line="540" w:lineRule="exact"/>
      <w:ind w:left="643"/>
      <w:outlineLvl w:val="0"/>
    </w:pPr>
    <w:rPr>
      <w:rFonts w:ascii="仿宋_GB2312" w:hAnsi="Times New Roman" w:eastAsia="仿宋_GB2312" w:cs="Times New Roman"/>
      <w:b/>
      <w:bCs/>
      <w:snapToGrid w:val="0"/>
      <w:kern w:val="44"/>
      <w:sz w:val="32"/>
      <w:szCs w:val="32"/>
    </w:rPr>
  </w:style>
  <w:style w:type="paragraph" w:styleId="3">
    <w:name w:val="heading 2"/>
    <w:basedOn w:val="1"/>
    <w:next w:val="1"/>
    <w:link w:val="22"/>
    <w:qFormat/>
    <w:uiPriority w:val="0"/>
    <w:pPr>
      <w:keepNext/>
      <w:keepLines/>
      <w:ind w:firstLine="640" w:firstLineChars="200"/>
      <w:outlineLvl w:val="1"/>
    </w:pPr>
    <w:rPr>
      <w:rFonts w:ascii="Arial" w:hAnsi="Arial" w:eastAsia="仿宋_GB2312" w:cs="Times New Roman"/>
      <w:snapToGrid w:val="0"/>
      <w:kern w:val="0"/>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unhideWhenUsed/>
    <w:qFormat/>
    <w:uiPriority w:val="0"/>
    <w:pPr>
      <w:jc w:val="left"/>
    </w:pPr>
    <w:rPr>
      <w:sz w:val="28"/>
      <w:szCs w:val="28"/>
    </w:rPr>
  </w:style>
  <w:style w:type="paragraph" w:styleId="5">
    <w:name w:val="Date"/>
    <w:basedOn w:val="1"/>
    <w:next w:val="1"/>
    <w:link w:val="28"/>
    <w:semiHidden/>
    <w:unhideWhenUsed/>
    <w:qFormat/>
    <w:uiPriority w:val="0"/>
    <w:pPr>
      <w:ind w:left="100" w:leftChars="2500"/>
    </w:pPr>
  </w:style>
  <w:style w:type="paragraph" w:styleId="6">
    <w:name w:val="Body Text Indent 2"/>
    <w:basedOn w:val="1"/>
    <w:link w:val="29"/>
    <w:qFormat/>
    <w:uiPriority w:val="0"/>
    <w:pPr>
      <w:spacing w:after="120" w:line="480" w:lineRule="auto"/>
      <w:ind w:left="420" w:leftChars="200"/>
    </w:pPr>
    <w:rPr>
      <w:rFonts w:ascii="Times New Roman" w:hAnsi="Times New Roman" w:cs="Times New Roman"/>
      <w:szCs w:val="24"/>
    </w:rPr>
  </w:style>
  <w:style w:type="paragraph" w:styleId="7">
    <w:name w:val="endnote text"/>
    <w:basedOn w:val="1"/>
    <w:link w:val="32"/>
    <w:semiHidden/>
    <w:unhideWhenUsed/>
    <w:qFormat/>
    <w:uiPriority w:val="0"/>
    <w:pPr>
      <w:snapToGrid w:val="0"/>
      <w:jc w:val="left"/>
    </w:pPr>
  </w:style>
  <w:style w:type="paragraph" w:styleId="8">
    <w:name w:val="Balloon Text"/>
    <w:basedOn w:val="1"/>
    <w:link w:val="23"/>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608"/>
      </w:tabs>
    </w:pPr>
    <w:rPr>
      <w:rFonts w:ascii="仿宋_GB2312" w:hAnsi="Times New Roman" w:eastAsia="仿宋_GB2312" w:cs="Times New Roman"/>
      <w:b/>
      <w:sz w:val="28"/>
      <w:szCs w:val="28"/>
    </w:rPr>
  </w:style>
  <w:style w:type="paragraph" w:styleId="12">
    <w:name w:val="toc 2"/>
    <w:basedOn w:val="1"/>
    <w:next w:val="1"/>
    <w:qFormat/>
    <w:uiPriority w:val="39"/>
    <w:pPr>
      <w:ind w:left="420" w:leftChars="200"/>
    </w:pPr>
    <w:rPr>
      <w:rFonts w:ascii="Times New Roman" w:hAnsi="Times New Roman" w:cs="Times New Roman"/>
      <w:szCs w:val="24"/>
    </w:rPr>
  </w:style>
  <w:style w:type="paragraph" w:styleId="13">
    <w:name w:val="annotation subject"/>
    <w:basedOn w:val="4"/>
    <w:next w:val="4"/>
    <w:link w:val="26"/>
    <w:unhideWhenUsed/>
    <w:qFormat/>
    <w:uiPriority w:val="0"/>
    <w:rPr>
      <w:b/>
      <w:bCs/>
    </w:rPr>
  </w:style>
  <w:style w:type="character" w:styleId="16">
    <w:name w:val="endnote reference"/>
    <w:basedOn w:val="15"/>
    <w:semiHidden/>
    <w:unhideWhenUsed/>
    <w:qFormat/>
    <w:uiPriority w:val="0"/>
    <w:rPr>
      <w:vertAlign w:val="superscript"/>
    </w:rPr>
  </w:style>
  <w:style w:type="character" w:styleId="17">
    <w:name w:val="Hyperlink"/>
    <w:qFormat/>
    <w:uiPriority w:val="99"/>
    <w:rPr>
      <w:color w:val="0000FF"/>
      <w:u w:val="single"/>
    </w:rPr>
  </w:style>
  <w:style w:type="character" w:styleId="18">
    <w:name w:val="annotation reference"/>
    <w:basedOn w:val="15"/>
    <w:unhideWhenUsed/>
    <w:qFormat/>
    <w:uiPriority w:val="0"/>
    <w:rPr>
      <w:sz w:val="21"/>
      <w:szCs w:val="21"/>
    </w:rPr>
  </w:style>
  <w:style w:type="character" w:customStyle="1" w:styleId="19">
    <w:name w:val="页眉 Char"/>
    <w:basedOn w:val="15"/>
    <w:link w:val="10"/>
    <w:qFormat/>
    <w:uiPriority w:val="99"/>
    <w:rPr>
      <w:sz w:val="18"/>
      <w:szCs w:val="18"/>
    </w:rPr>
  </w:style>
  <w:style w:type="character" w:customStyle="1" w:styleId="20">
    <w:name w:val="页脚 Char"/>
    <w:basedOn w:val="15"/>
    <w:link w:val="9"/>
    <w:qFormat/>
    <w:uiPriority w:val="99"/>
    <w:rPr>
      <w:sz w:val="18"/>
      <w:szCs w:val="18"/>
    </w:rPr>
  </w:style>
  <w:style w:type="character" w:customStyle="1" w:styleId="21">
    <w:name w:val="标题 1 Char"/>
    <w:basedOn w:val="15"/>
    <w:link w:val="2"/>
    <w:qFormat/>
    <w:uiPriority w:val="0"/>
    <w:rPr>
      <w:rFonts w:ascii="仿宋_GB2312" w:hAnsi="Times New Roman" w:eastAsia="仿宋_GB2312" w:cs="Times New Roman"/>
      <w:b/>
      <w:bCs/>
      <w:snapToGrid w:val="0"/>
      <w:kern w:val="44"/>
      <w:sz w:val="32"/>
      <w:szCs w:val="32"/>
    </w:rPr>
  </w:style>
  <w:style w:type="character" w:customStyle="1" w:styleId="22">
    <w:name w:val="标题 2 Char"/>
    <w:basedOn w:val="15"/>
    <w:link w:val="3"/>
    <w:qFormat/>
    <w:uiPriority w:val="0"/>
    <w:rPr>
      <w:rFonts w:ascii="Arial" w:hAnsi="Arial" w:eastAsia="仿宋_GB2312" w:cs="Times New Roman"/>
      <w:snapToGrid w:val="0"/>
      <w:kern w:val="0"/>
      <w:sz w:val="32"/>
      <w:szCs w:val="32"/>
    </w:rPr>
  </w:style>
  <w:style w:type="character" w:customStyle="1" w:styleId="23">
    <w:name w:val="批注框文本 Char"/>
    <w:basedOn w:val="15"/>
    <w:link w:val="8"/>
    <w:semiHidden/>
    <w:qFormat/>
    <w:uiPriority w:val="99"/>
    <w:rPr>
      <w:sz w:val="18"/>
      <w:szCs w:val="18"/>
    </w:rPr>
  </w:style>
  <w:style w:type="paragraph" w:customStyle="1" w:styleId="24">
    <w:name w:val="列出段落1"/>
    <w:basedOn w:val="1"/>
    <w:qFormat/>
    <w:uiPriority w:val="34"/>
    <w:pPr>
      <w:ind w:firstLine="420" w:firstLineChars="200"/>
    </w:pPr>
    <w:rPr>
      <w:rFonts w:ascii="Times New Roman" w:hAnsi="Times New Roman" w:cs="Times New Roman"/>
      <w:szCs w:val="24"/>
    </w:rPr>
  </w:style>
  <w:style w:type="character" w:customStyle="1" w:styleId="25">
    <w:name w:val="批注文字 Char"/>
    <w:basedOn w:val="15"/>
    <w:link w:val="4"/>
    <w:qFormat/>
    <w:uiPriority w:val="0"/>
    <w:rPr>
      <w:rFonts w:ascii="Calibri" w:hAnsi="Calibri" w:cs="黑体"/>
      <w:kern w:val="2"/>
      <w:sz w:val="28"/>
      <w:szCs w:val="28"/>
    </w:rPr>
  </w:style>
  <w:style w:type="character" w:customStyle="1" w:styleId="26">
    <w:name w:val="批注主题 Char"/>
    <w:basedOn w:val="25"/>
    <w:link w:val="13"/>
    <w:semiHidden/>
    <w:qFormat/>
    <w:uiPriority w:val="0"/>
    <w:rPr>
      <w:rFonts w:ascii="Calibri" w:hAnsi="Calibri" w:cs="黑体"/>
      <w:b/>
      <w:bCs/>
      <w:kern w:val="2"/>
      <w:sz w:val="21"/>
      <w:szCs w:val="22"/>
    </w:rPr>
  </w:style>
  <w:style w:type="paragraph" w:customStyle="1" w:styleId="27">
    <w:name w:val="修订1"/>
    <w:hidden/>
    <w:unhideWhenUsed/>
    <w:qFormat/>
    <w:uiPriority w:val="99"/>
    <w:rPr>
      <w:rFonts w:ascii="Calibri" w:hAnsi="Calibri" w:eastAsia="宋体" w:cs="黑体"/>
      <w:kern w:val="2"/>
      <w:sz w:val="21"/>
      <w:szCs w:val="22"/>
      <w:lang w:val="en-US" w:eastAsia="zh-CN" w:bidi="ar-SA"/>
    </w:rPr>
  </w:style>
  <w:style w:type="character" w:customStyle="1" w:styleId="28">
    <w:name w:val="日期 Char"/>
    <w:basedOn w:val="15"/>
    <w:link w:val="5"/>
    <w:semiHidden/>
    <w:qFormat/>
    <w:uiPriority w:val="0"/>
    <w:rPr>
      <w:rFonts w:ascii="Calibri" w:hAnsi="Calibri" w:cs="黑体"/>
      <w:kern w:val="2"/>
      <w:sz w:val="21"/>
      <w:szCs w:val="22"/>
    </w:rPr>
  </w:style>
  <w:style w:type="character" w:customStyle="1" w:styleId="29">
    <w:name w:val="正文文本缩进 2 Char"/>
    <w:basedOn w:val="15"/>
    <w:link w:val="6"/>
    <w:qFormat/>
    <w:uiPriority w:val="0"/>
    <w:rPr>
      <w:kern w:val="2"/>
      <w:sz w:val="21"/>
      <w:szCs w:val="24"/>
    </w:rPr>
  </w:style>
  <w:style w:type="paragraph" w:styleId="30">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31">
    <w:name w:val="样式 列出段落 + (西文) Times New Roman (中文) 仿宋_GB2312 小四 加粗 首行缩进:  2..."/>
    <w:basedOn w:val="24"/>
    <w:qFormat/>
    <w:uiPriority w:val="0"/>
    <w:pPr>
      <w:spacing w:line="336" w:lineRule="auto"/>
      <w:ind w:firstLine="482"/>
    </w:pPr>
    <w:rPr>
      <w:rFonts w:eastAsia="仿宋_GB2312" w:cs="宋体"/>
      <w:b/>
      <w:bCs/>
      <w:sz w:val="24"/>
    </w:rPr>
  </w:style>
  <w:style w:type="character" w:customStyle="1" w:styleId="32">
    <w:name w:val="尾注文本 Char"/>
    <w:basedOn w:val="15"/>
    <w:link w:val="7"/>
    <w:semiHidden/>
    <w:qFormat/>
    <w:uiPriority w:val="0"/>
    <w:rPr>
      <w:rFonts w:ascii="Calibri" w:hAnsi="Calibri" w:cs="黑体"/>
      <w:kern w:val="2"/>
      <w:sz w:val="21"/>
      <w:szCs w:val="22"/>
    </w:rPr>
  </w:style>
  <w:style w:type="paragraph" w:customStyle="1" w:styleId="33">
    <w:name w:val="修订2"/>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质朴">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F0E2C-B1D7-42C5-BDA8-67AD76CF67B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1480</Words>
  <Characters>8436</Characters>
  <Lines>70</Lines>
  <Paragraphs>19</Paragraphs>
  <TotalTime>0</TotalTime>
  <ScaleCrop>false</ScaleCrop>
  <LinksUpToDate>false</LinksUpToDate>
  <CharactersWithSpaces>9897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2018-07-06T02:36:00Z</dcterms:created>
  <dc:creator>jiyanbin</dc:creator>
  <cp:lastModifiedBy>青冘</cp:lastModifiedBy>
  <cp:lastPrinted>2020-12-12T08:33:00Z</cp:lastPrinted>
  <dcterms:modified xsi:type="dcterms:W3CDTF">2020-12-30T06:52:48Z</dcterms:modified>
  <dc:title>北京市东城区财政项目支出</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